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F386" w14:textId="77777777" w:rsidR="00E32CF7" w:rsidRDefault="00EB36B0" w:rsidP="00EB36B0">
      <w:pPr>
        <w:pStyle w:val="Title"/>
      </w:pPr>
      <w:r>
        <w:t xml:space="preserve">White Paper: </w:t>
      </w:r>
      <w:r w:rsidR="00FC7216">
        <w:t>Mental Health Reform</w:t>
      </w:r>
    </w:p>
    <w:p w14:paraId="38E51004" w14:textId="77777777" w:rsidR="000752F7" w:rsidRDefault="000752F7" w:rsidP="000752F7">
      <w:pPr>
        <w:pStyle w:val="Heading1"/>
        <w:jc w:val="both"/>
      </w:pPr>
      <w:r>
        <w:t xml:space="preserve">Stakeholder Engagement </w:t>
      </w:r>
    </w:p>
    <w:p w14:paraId="46A434E8" w14:textId="092FB4BE" w:rsidR="000752F7" w:rsidRDefault="000752F7" w:rsidP="000752F7">
      <w:pPr>
        <w:jc w:val="both"/>
      </w:pPr>
      <w:r>
        <w:t xml:space="preserve">The Minnesota Department of Human Services (DHS) will engage several stakeholders in its efforts to </w:t>
      </w:r>
      <w:r w:rsidR="00571BAF">
        <w:t>c</w:t>
      </w:r>
      <w:r w:rsidR="00571BAF" w:rsidRPr="00571BAF">
        <w:t>ontinu</w:t>
      </w:r>
      <w:r w:rsidR="00571BAF">
        <w:t>e enhancing</w:t>
      </w:r>
      <w:r w:rsidR="00571BAF" w:rsidRPr="00571BAF">
        <w:t>, invest</w:t>
      </w:r>
      <w:r w:rsidR="00571BAF">
        <w:t>ing</w:t>
      </w:r>
      <w:r w:rsidR="00571BAF" w:rsidRPr="00571BAF">
        <w:t xml:space="preserve"> in, and develop</w:t>
      </w:r>
      <w:r w:rsidR="00571BAF">
        <w:t>ing</w:t>
      </w:r>
      <w:r w:rsidR="00571BAF" w:rsidRPr="00571BAF">
        <w:t xml:space="preserve"> the community-based mental health services infrastructure to ensure that Minnesotans are able to access quality and appropriate services when they most need them.  </w:t>
      </w:r>
      <w:r>
        <w:t xml:space="preserve">The following identifies: the stakeholders involved, the purpose of engagement, and an overarching plan and timeline for anticipated stakeholder interactions.  </w:t>
      </w:r>
    </w:p>
    <w:p w14:paraId="55B4432B" w14:textId="77777777" w:rsidR="000752F7" w:rsidRDefault="000752F7" w:rsidP="000752F7">
      <w:pPr>
        <w:pStyle w:val="Subtitle"/>
        <w:numPr>
          <w:ilvl w:val="0"/>
          <w:numId w:val="0"/>
        </w:numPr>
        <w:jc w:val="both"/>
      </w:pPr>
      <w:r>
        <w:t>Purpose</w:t>
      </w:r>
    </w:p>
    <w:p w14:paraId="7F81A90D" w14:textId="4F1A0950" w:rsidR="000752F7" w:rsidRDefault="000752F7" w:rsidP="000752F7">
      <w:pPr>
        <w:jc w:val="both"/>
      </w:pPr>
      <w:r w:rsidRPr="00B13096">
        <w:t xml:space="preserve">The purpose of stakeholder engagement regarding DHS’s white paper on </w:t>
      </w:r>
      <w:r w:rsidR="005E4E8D" w:rsidRPr="00B13096">
        <w:t xml:space="preserve">mental health reform </w:t>
      </w:r>
      <w:r w:rsidRPr="00B13096">
        <w:t xml:space="preserve">is: (1) to provide courtesy of notice to impacted parties by apprising them of DHS’s vision for </w:t>
      </w:r>
      <w:r w:rsidR="005E4E8D" w:rsidRPr="00B13096">
        <w:t xml:space="preserve">mental health </w:t>
      </w:r>
      <w:r w:rsidRPr="00B13096">
        <w:t>reform</w:t>
      </w:r>
      <w:r w:rsidR="005E4E8D" w:rsidRPr="00B13096">
        <w:t xml:space="preserve">; </w:t>
      </w:r>
      <w:r w:rsidRPr="00B13096">
        <w:t>(2) to incorporate applicable, construc</w:t>
      </w:r>
      <w:r w:rsidR="005E4E8D" w:rsidRPr="00B13096">
        <w:t>tive feedback where appropriate; and (3) to create necessary support and buy in across interested parties.</w:t>
      </w:r>
      <w:r w:rsidR="00837B38">
        <w:t xml:space="preserve"> This stakeholder engagement plan is best depicted in </w:t>
      </w:r>
      <w:r w:rsidR="00837B38" w:rsidRPr="00837B38">
        <w:rPr>
          <w:i/>
        </w:rPr>
        <w:t>Illustration 1</w:t>
      </w:r>
      <w:r w:rsidR="00837B38">
        <w:t xml:space="preserve"> attached below.</w:t>
      </w:r>
      <w:r w:rsidR="005E4E8D" w:rsidRPr="00B13096">
        <w:t xml:space="preserve"> </w:t>
      </w:r>
      <w:r>
        <w:t xml:space="preserve">  </w:t>
      </w:r>
    </w:p>
    <w:p w14:paraId="13CCA00E" w14:textId="77777777" w:rsidR="000752F7" w:rsidRDefault="000752F7" w:rsidP="000752F7">
      <w:pPr>
        <w:pStyle w:val="Subtitle"/>
        <w:jc w:val="both"/>
      </w:pPr>
      <w:r>
        <w:t>Plan and Timeline</w:t>
      </w:r>
    </w:p>
    <w:p w14:paraId="2C24E97E" w14:textId="6A8D38D4" w:rsidR="000752F7" w:rsidRDefault="00571BAF" w:rsidP="000752F7">
      <w:pPr>
        <w:jc w:val="both"/>
      </w:pPr>
      <w:r>
        <w:t xml:space="preserve">Mental Health Reform </w:t>
      </w:r>
      <w:r w:rsidR="000752F7">
        <w:t xml:space="preserve">impacts several internal and external stakeholders.  </w:t>
      </w:r>
      <w:r>
        <w:t xml:space="preserve">CMHS </w:t>
      </w:r>
      <w:r w:rsidR="000752F7">
        <w:t xml:space="preserve">will engage and interact with stakeholders </w:t>
      </w:r>
      <w:r>
        <w:t>as follows</w:t>
      </w:r>
      <w:r w:rsidR="000752F7">
        <w:t>:</w:t>
      </w:r>
    </w:p>
    <w:p w14:paraId="45A6649D" w14:textId="49703B31" w:rsidR="00E04E93" w:rsidRPr="00E04E93" w:rsidRDefault="00044761" w:rsidP="000752F7">
      <w:pPr>
        <w:pStyle w:val="ListParagraph"/>
        <w:numPr>
          <w:ilvl w:val="0"/>
          <w:numId w:val="2"/>
        </w:numPr>
        <w:jc w:val="both"/>
      </w:pPr>
      <w:r>
        <w:rPr>
          <w:b/>
        </w:rPr>
        <w:t xml:space="preserve">Internal </w:t>
      </w:r>
      <w:r w:rsidR="00E04E93">
        <w:rPr>
          <w:b/>
        </w:rPr>
        <w:t xml:space="preserve">Mental Health </w:t>
      </w:r>
      <w:r>
        <w:rPr>
          <w:b/>
        </w:rPr>
        <w:t xml:space="preserve">White Paper </w:t>
      </w:r>
      <w:r w:rsidR="00E04E93">
        <w:rPr>
          <w:b/>
        </w:rPr>
        <w:t xml:space="preserve">Drafting Team </w:t>
      </w:r>
      <w:r w:rsidR="00E04E93">
        <w:rPr>
          <w:b/>
        </w:rPr>
        <w:tab/>
      </w:r>
      <w:r w:rsidR="00E04E93">
        <w:rPr>
          <w:b/>
        </w:rPr>
        <w:tab/>
      </w:r>
      <w:r w:rsidR="00E04E93">
        <w:rPr>
          <w:b/>
        </w:rPr>
        <w:tab/>
        <w:t>Launched 7/11/2014</w:t>
      </w:r>
    </w:p>
    <w:p w14:paraId="01703DFA" w14:textId="77777777" w:rsidR="00044761" w:rsidRDefault="00E04E93" w:rsidP="00044761">
      <w:pPr>
        <w:pStyle w:val="ListParagraph"/>
        <w:jc w:val="both"/>
      </w:pPr>
      <w:r>
        <w:t>The purpose of this team is to draft the preliminary proposals and bill language as the foundation</w:t>
      </w:r>
      <w:r w:rsidR="00044761">
        <w:t xml:space="preserve"> and building blocks</w:t>
      </w:r>
      <w:r>
        <w:t xml:space="preserve"> of the white paper.  </w:t>
      </w:r>
      <w:r w:rsidR="00044761">
        <w:t xml:space="preserve">This team and its associated check-in meetings will provide opportunities for </w:t>
      </w:r>
      <w:r>
        <w:t xml:space="preserve">CMHS leadership and key </w:t>
      </w:r>
      <w:proofErr w:type="gramStart"/>
      <w:r>
        <w:t xml:space="preserve">staff </w:t>
      </w:r>
      <w:r w:rsidR="00044761">
        <w:t>to discuss the concepts being proposed, identify</w:t>
      </w:r>
      <w:proofErr w:type="gramEnd"/>
      <w:r w:rsidR="00044761">
        <w:t xml:space="preserve"> possible barriers and solutions for clearing the barriers, and ensure that Children’s Mental Health and Adult Mental Health staff are engaged.  CMHS </w:t>
      </w:r>
      <w:r w:rsidRPr="00E04E93">
        <w:t>will refine the white paper per feedback as appropriate.  The resulting product will be the foundation for the white paper’s overarching vision and n</w:t>
      </w:r>
      <w:r w:rsidR="00044761">
        <w:t xml:space="preserve">ot subject to material change. </w:t>
      </w:r>
    </w:p>
    <w:p w14:paraId="1908DFF6" w14:textId="4A064FB3" w:rsidR="00E04E93" w:rsidRPr="00E04E93" w:rsidRDefault="00E04E93" w:rsidP="00044761">
      <w:pPr>
        <w:pStyle w:val="ListParagraph"/>
        <w:jc w:val="both"/>
      </w:pPr>
      <w:r w:rsidRPr="00E04E93">
        <w:rPr>
          <w:b/>
        </w:rPr>
        <w:tab/>
      </w:r>
    </w:p>
    <w:p w14:paraId="1F1E474A" w14:textId="248962F7" w:rsidR="000752F7" w:rsidRDefault="00571BAF" w:rsidP="000752F7">
      <w:pPr>
        <w:pStyle w:val="ListParagraph"/>
        <w:numPr>
          <w:ilvl w:val="0"/>
          <w:numId w:val="2"/>
        </w:numPr>
        <w:jc w:val="both"/>
      </w:pPr>
      <w:r>
        <w:rPr>
          <w:b/>
        </w:rPr>
        <w:t>Internal DHS Core Mental Health Reform Team</w:t>
      </w:r>
      <w:r>
        <w:rPr>
          <w:b/>
        </w:rPr>
        <w:tab/>
      </w:r>
      <w:r>
        <w:rPr>
          <w:b/>
        </w:rPr>
        <w:tab/>
      </w:r>
      <w:r w:rsidR="00E04E93">
        <w:rPr>
          <w:b/>
        </w:rPr>
        <w:tab/>
      </w:r>
      <w:r w:rsidR="00E04E93">
        <w:rPr>
          <w:b/>
        </w:rPr>
        <w:tab/>
      </w:r>
      <w:r>
        <w:rPr>
          <w:b/>
        </w:rPr>
        <w:t>Launched 7/24/2014</w:t>
      </w:r>
    </w:p>
    <w:p w14:paraId="12AC3F48" w14:textId="65A54A96" w:rsidR="00E04E93" w:rsidRDefault="000752F7" w:rsidP="00E04E93">
      <w:pPr>
        <w:pStyle w:val="ListParagraph"/>
        <w:jc w:val="both"/>
      </w:pPr>
      <w:r>
        <w:t xml:space="preserve">The purpose of this </w:t>
      </w:r>
      <w:r w:rsidR="00571BAF">
        <w:t xml:space="preserve">team is to provide guidance to, coordination of, communication across, and collaboration with topics relating to mental health reform across </w:t>
      </w:r>
      <w:r w:rsidR="00C17D4C">
        <w:t xml:space="preserve">areas of </w:t>
      </w:r>
      <w:r w:rsidR="00571BAF">
        <w:t xml:space="preserve">the department.  </w:t>
      </w:r>
      <w:r w:rsidR="00E04E93">
        <w:t>CMHS will refine the white paper per feedback as appropriate.  The resulting product will be the foundation for the white paper’s overarching vision and not subject to material change.  Team members include:</w:t>
      </w:r>
    </w:p>
    <w:p w14:paraId="78C7F842" w14:textId="77777777" w:rsidR="00044761" w:rsidRDefault="00044761" w:rsidP="00E04E93">
      <w:pPr>
        <w:pStyle w:val="ListParagraph"/>
        <w:numPr>
          <w:ilvl w:val="1"/>
          <w:numId w:val="2"/>
        </w:numPr>
        <w:jc w:val="both"/>
        <w:sectPr w:rsidR="00044761">
          <w:headerReference w:type="default" r:id="rId12"/>
          <w:pgSz w:w="12240" w:h="15840"/>
          <w:pgMar w:top="1440" w:right="1440" w:bottom="1440" w:left="1440" w:header="720" w:footer="720" w:gutter="0"/>
          <w:cols w:space="720"/>
          <w:docGrid w:linePitch="360"/>
        </w:sectPr>
      </w:pPr>
    </w:p>
    <w:p w14:paraId="287FDFFF" w14:textId="719B959F" w:rsidR="00E04E93" w:rsidRDefault="00E04E93" w:rsidP="00E04E93">
      <w:pPr>
        <w:pStyle w:val="ListParagraph"/>
        <w:numPr>
          <w:ilvl w:val="1"/>
          <w:numId w:val="2"/>
        </w:numPr>
        <w:jc w:val="both"/>
      </w:pPr>
      <w:r>
        <w:lastRenderedPageBreak/>
        <w:t>Glenace Edwall, CMHS</w:t>
      </w:r>
    </w:p>
    <w:p w14:paraId="0CE17731" w14:textId="4070D76E" w:rsidR="00E04E93" w:rsidRDefault="00E04E93" w:rsidP="00E04E93">
      <w:pPr>
        <w:pStyle w:val="ListParagraph"/>
        <w:numPr>
          <w:ilvl w:val="1"/>
          <w:numId w:val="2"/>
        </w:numPr>
        <w:jc w:val="both"/>
      </w:pPr>
      <w:r>
        <w:t xml:space="preserve">Tom Ruter, CMHS </w:t>
      </w:r>
    </w:p>
    <w:p w14:paraId="0EF303EF" w14:textId="61A7EA2F" w:rsidR="00E04E93" w:rsidRDefault="00E04E93" w:rsidP="00E04E93">
      <w:pPr>
        <w:pStyle w:val="ListParagraph"/>
        <w:numPr>
          <w:ilvl w:val="1"/>
          <w:numId w:val="2"/>
        </w:numPr>
        <w:jc w:val="both"/>
      </w:pPr>
      <w:r>
        <w:lastRenderedPageBreak/>
        <w:t>Gary Cox, CMHS</w:t>
      </w:r>
    </w:p>
    <w:p w14:paraId="1DCD2241" w14:textId="5671371A" w:rsidR="00E04E93" w:rsidRDefault="00E04E93" w:rsidP="00E04E93">
      <w:pPr>
        <w:pStyle w:val="ListParagraph"/>
        <w:numPr>
          <w:ilvl w:val="1"/>
          <w:numId w:val="2"/>
        </w:numPr>
        <w:jc w:val="both"/>
      </w:pPr>
      <w:r>
        <w:t>Jana Nicolaison, CMHS</w:t>
      </w:r>
    </w:p>
    <w:p w14:paraId="43D1FB43" w14:textId="1F1F73C5" w:rsidR="00E04E93" w:rsidRDefault="00E04E93" w:rsidP="00E04E93">
      <w:pPr>
        <w:pStyle w:val="ListParagraph"/>
        <w:numPr>
          <w:ilvl w:val="1"/>
          <w:numId w:val="2"/>
        </w:numPr>
        <w:jc w:val="both"/>
      </w:pPr>
      <w:r>
        <w:lastRenderedPageBreak/>
        <w:t>Alex Bartolic, CCA</w:t>
      </w:r>
    </w:p>
    <w:p w14:paraId="61FF6DAD" w14:textId="352278C3" w:rsidR="00E04E93" w:rsidRDefault="00E04E93" w:rsidP="00E04E93">
      <w:pPr>
        <w:pStyle w:val="ListParagraph"/>
        <w:numPr>
          <w:ilvl w:val="1"/>
          <w:numId w:val="2"/>
        </w:numPr>
        <w:jc w:val="both"/>
      </w:pPr>
      <w:r>
        <w:t>Jamie Sorenson, CFS</w:t>
      </w:r>
    </w:p>
    <w:p w14:paraId="14A911F4" w14:textId="66D2B446" w:rsidR="00E04E93" w:rsidRDefault="00E04E93" w:rsidP="00E04E93">
      <w:pPr>
        <w:pStyle w:val="ListParagraph"/>
        <w:numPr>
          <w:ilvl w:val="1"/>
          <w:numId w:val="2"/>
        </w:numPr>
        <w:jc w:val="both"/>
      </w:pPr>
      <w:r>
        <w:lastRenderedPageBreak/>
        <w:t>Marie Zimmerman, HCA</w:t>
      </w:r>
    </w:p>
    <w:p w14:paraId="3C5AD5DE" w14:textId="13A0C095" w:rsidR="00E04E93" w:rsidRDefault="00E04E93" w:rsidP="00E04E93">
      <w:pPr>
        <w:pStyle w:val="ListParagraph"/>
        <w:numPr>
          <w:ilvl w:val="1"/>
          <w:numId w:val="2"/>
        </w:numPr>
        <w:jc w:val="both"/>
      </w:pPr>
      <w:r>
        <w:t>Steve Allen, DCT</w:t>
      </w:r>
    </w:p>
    <w:p w14:paraId="6F4D1DDA" w14:textId="77777777" w:rsidR="00C17D4C" w:rsidRPr="00C17D4C" w:rsidRDefault="00C17D4C" w:rsidP="00C17D4C">
      <w:pPr>
        <w:jc w:val="both"/>
        <w:rPr>
          <w:b/>
        </w:rPr>
        <w:sectPr w:rsidR="00C17D4C" w:rsidRPr="00C17D4C" w:rsidSect="00C17D4C">
          <w:type w:val="continuous"/>
          <w:pgSz w:w="12240" w:h="15840"/>
          <w:pgMar w:top="1440" w:right="1440" w:bottom="1440" w:left="1440" w:header="720" w:footer="720" w:gutter="0"/>
          <w:cols w:num="2" w:space="720"/>
          <w:docGrid w:linePitch="360"/>
        </w:sectPr>
      </w:pPr>
    </w:p>
    <w:p w14:paraId="79EF12C0" w14:textId="77777777" w:rsidR="001B0D1F" w:rsidRDefault="001B0D1F" w:rsidP="001B0D1F">
      <w:pPr>
        <w:pStyle w:val="ListParagraph"/>
        <w:jc w:val="both"/>
        <w:rPr>
          <w:b/>
        </w:rPr>
      </w:pPr>
    </w:p>
    <w:p w14:paraId="4FE4E221" w14:textId="3CD26F6C" w:rsidR="000752F7" w:rsidRPr="00F05133" w:rsidRDefault="00C17D4C" w:rsidP="000752F7">
      <w:pPr>
        <w:pStyle w:val="ListParagraph"/>
        <w:numPr>
          <w:ilvl w:val="0"/>
          <w:numId w:val="2"/>
        </w:numPr>
        <w:jc w:val="both"/>
        <w:rPr>
          <w:b/>
        </w:rPr>
      </w:pPr>
      <w:r>
        <w:rPr>
          <w:b/>
        </w:rPr>
        <w:t>External Mental Health Services Improvement Workgroup</w:t>
      </w:r>
      <w:r>
        <w:rPr>
          <w:b/>
        </w:rPr>
        <w:tab/>
      </w:r>
      <w:r>
        <w:rPr>
          <w:b/>
        </w:rPr>
        <w:tab/>
        <w:t>Launched 8/5/2014</w:t>
      </w:r>
    </w:p>
    <w:p w14:paraId="4FC8A791" w14:textId="64580CAF" w:rsidR="00C17D4C" w:rsidRDefault="00C17D4C" w:rsidP="00C17D4C">
      <w:pPr>
        <w:pStyle w:val="ListParagraph"/>
        <w:jc w:val="both"/>
      </w:pPr>
      <w:r>
        <w:t>The purpose of this workgroup is to c</w:t>
      </w:r>
      <w:r w:rsidRPr="00C17D4C">
        <w:t xml:space="preserve">ontinue the trailblazing work of the Minnesota Mental Health Action Group (MMHAG) </w:t>
      </w:r>
      <w:r w:rsidR="001B0D1F">
        <w:t xml:space="preserve">and create a 3 to 5 year vision for necessary improvements to </w:t>
      </w:r>
      <w:r w:rsidRPr="00C17D4C">
        <w:t xml:space="preserve">Minnesota’s Mental Health System.  </w:t>
      </w:r>
      <w:r>
        <w:t xml:space="preserve">  CMHS will refine the white paper and associated proposals as appropriate</w:t>
      </w:r>
      <w:r w:rsidR="001B0D1F">
        <w:t xml:space="preserve">; however, this team will also be working on concepts that stretch beyond the 2015 Session.   </w:t>
      </w:r>
      <w:r>
        <w:t>Team members include</w:t>
      </w:r>
      <w:r w:rsidR="001B0D1F">
        <w:t xml:space="preserve"> representatives from</w:t>
      </w:r>
      <w:r>
        <w:t>:</w:t>
      </w:r>
    </w:p>
    <w:p w14:paraId="5FD142CF" w14:textId="77777777" w:rsidR="00C17D4C" w:rsidRDefault="00C17D4C" w:rsidP="00C17D4C">
      <w:pPr>
        <w:pStyle w:val="ListParagraph"/>
        <w:numPr>
          <w:ilvl w:val="1"/>
          <w:numId w:val="2"/>
        </w:numPr>
        <w:jc w:val="both"/>
        <w:sectPr w:rsidR="00C17D4C" w:rsidSect="00C17D4C">
          <w:headerReference w:type="default" r:id="rId13"/>
          <w:type w:val="continuous"/>
          <w:pgSz w:w="12240" w:h="15840"/>
          <w:pgMar w:top="1440" w:right="1440" w:bottom="1440" w:left="1440" w:header="720" w:footer="720" w:gutter="0"/>
          <w:cols w:space="720"/>
          <w:docGrid w:linePitch="360"/>
        </w:sectPr>
      </w:pPr>
    </w:p>
    <w:p w14:paraId="681E7AC9" w14:textId="4B21737C" w:rsidR="001B0D1F" w:rsidRDefault="00E87350" w:rsidP="00C17D4C">
      <w:pPr>
        <w:pStyle w:val="ListParagraph"/>
        <w:numPr>
          <w:ilvl w:val="1"/>
          <w:numId w:val="2"/>
        </w:numPr>
        <w:jc w:val="both"/>
      </w:pPr>
      <w:r w:rsidRPr="00E87350">
        <w:rPr>
          <w:b/>
          <w:u w:val="single"/>
        </w:rPr>
        <w:lastRenderedPageBreak/>
        <w:t>State:</w:t>
      </w:r>
      <w:r>
        <w:t xml:space="preserve">  </w:t>
      </w:r>
      <w:r w:rsidR="001B0D1F">
        <w:t>The Department of Human Services</w:t>
      </w:r>
      <w:r w:rsidR="00906739">
        <w:t xml:space="preserve"> and the State Advisory Council on Mental Health</w:t>
      </w:r>
    </w:p>
    <w:p w14:paraId="59B4EA20" w14:textId="62A38658" w:rsidR="00E87350" w:rsidRDefault="00E87350" w:rsidP="00E87350">
      <w:pPr>
        <w:pStyle w:val="ListParagraph"/>
        <w:numPr>
          <w:ilvl w:val="1"/>
          <w:numId w:val="2"/>
        </w:numPr>
        <w:jc w:val="both"/>
      </w:pPr>
      <w:r>
        <w:rPr>
          <w:b/>
          <w:u w:val="single"/>
        </w:rPr>
        <w:t>Counties</w:t>
      </w:r>
      <w:r w:rsidRPr="00E87350">
        <w:rPr>
          <w:b/>
          <w:u w:val="single"/>
        </w:rPr>
        <w:t>:</w:t>
      </w:r>
      <w:r>
        <w:t xml:space="preserve">  Association of Minnesota Counties</w:t>
      </w:r>
      <w:r w:rsidR="004C4A8B">
        <w:t>, Minnesota Association of County Social Services Administrators</w:t>
      </w:r>
    </w:p>
    <w:p w14:paraId="2BBE0ECA" w14:textId="6BCA6B1D" w:rsidR="00906739" w:rsidRDefault="00E87350" w:rsidP="00906739">
      <w:pPr>
        <w:pStyle w:val="ListParagraph"/>
        <w:numPr>
          <w:ilvl w:val="1"/>
          <w:numId w:val="2"/>
        </w:numPr>
        <w:jc w:val="both"/>
      </w:pPr>
      <w:r>
        <w:rPr>
          <w:b/>
          <w:u w:val="single"/>
        </w:rPr>
        <w:t>Advocacy, Consumer’s &amp; Families:</w:t>
      </w:r>
      <w:r w:rsidRPr="00E87350">
        <w:rPr>
          <w:b/>
        </w:rPr>
        <w:t xml:space="preserve">  </w:t>
      </w:r>
      <w:r w:rsidR="00906739">
        <w:t>N</w:t>
      </w:r>
      <w:r w:rsidR="004C4A8B">
        <w:t>ational Alliance on Mental Illness</w:t>
      </w:r>
      <w:r w:rsidR="00906739">
        <w:t>-MN, C</w:t>
      </w:r>
      <w:r w:rsidR="004C4A8B">
        <w:t>onsumer Survivor Network</w:t>
      </w:r>
      <w:r w:rsidR="00906739">
        <w:t xml:space="preserve">, </w:t>
      </w:r>
      <w:r w:rsidR="004C4A8B">
        <w:t xml:space="preserve">Mental Health Association of Minnesota, </w:t>
      </w:r>
      <w:r w:rsidR="004C4A8B" w:rsidRPr="00C779DC">
        <w:t>Minnesota Association for Children's Mental Health</w:t>
      </w:r>
      <w:r w:rsidR="004C4A8B">
        <w:t xml:space="preserve">, Minnesota Disability Law Center, </w:t>
      </w:r>
    </w:p>
    <w:p w14:paraId="6C205BF9" w14:textId="2DE48BCF" w:rsidR="000752F7" w:rsidRDefault="00E87350" w:rsidP="0004549D">
      <w:pPr>
        <w:pStyle w:val="ListParagraph"/>
        <w:numPr>
          <w:ilvl w:val="1"/>
          <w:numId w:val="2"/>
        </w:numPr>
        <w:jc w:val="both"/>
      </w:pPr>
      <w:r>
        <w:rPr>
          <w:b/>
          <w:u w:val="single"/>
        </w:rPr>
        <w:t xml:space="preserve">Hospitals, Providers, &amp; Health </w:t>
      </w:r>
      <w:r w:rsidRPr="00E87350">
        <w:rPr>
          <w:b/>
          <w:u w:val="single"/>
        </w:rPr>
        <w:t>Plans</w:t>
      </w:r>
      <w:r>
        <w:rPr>
          <w:b/>
          <w:u w:val="single"/>
        </w:rPr>
        <w:t>:</w:t>
      </w:r>
      <w:r w:rsidRPr="00E87350">
        <w:t xml:space="preserve">  </w:t>
      </w:r>
      <w:r w:rsidR="00906739" w:rsidRPr="00E87350">
        <w:t xml:space="preserve">The </w:t>
      </w:r>
      <w:r w:rsidR="00906739">
        <w:t xml:space="preserve">Minnesota Hospital Association, Minnesota Council of Health Plans, </w:t>
      </w:r>
      <w:r w:rsidR="0004549D">
        <w:t xml:space="preserve">Mental Health Providers Association of Minnesota, Southwest Coalition, </w:t>
      </w:r>
      <w:r w:rsidR="004C4A8B">
        <w:t xml:space="preserve"> </w:t>
      </w:r>
      <w:r w:rsidR="0004549D" w:rsidRPr="0004549D">
        <w:t>Minnesota Council of Child Caring Agencies</w:t>
      </w:r>
    </w:p>
    <w:p w14:paraId="57F3E2AE" w14:textId="2169C3AA" w:rsidR="00E87350" w:rsidRDefault="00E87350" w:rsidP="00E87350">
      <w:pPr>
        <w:pStyle w:val="ListParagraph"/>
        <w:numPr>
          <w:ilvl w:val="1"/>
          <w:numId w:val="2"/>
        </w:numPr>
        <w:jc w:val="both"/>
      </w:pPr>
      <w:r>
        <w:rPr>
          <w:b/>
          <w:u w:val="single"/>
        </w:rPr>
        <w:t>Professionals:</w:t>
      </w:r>
      <w:r w:rsidRPr="00E87350">
        <w:t xml:space="preserve">  National Association of Social Workers</w:t>
      </w:r>
      <w:r>
        <w:t xml:space="preserve">, </w:t>
      </w:r>
      <w:r w:rsidR="00C779DC">
        <w:t xml:space="preserve">Minnesota Psychological Association, </w:t>
      </w:r>
      <w:r w:rsidR="0004549D">
        <w:t>Minnesota Psychiatric Society</w:t>
      </w:r>
    </w:p>
    <w:p w14:paraId="32C8FFF1" w14:textId="77777777" w:rsidR="00906739" w:rsidRPr="00F05133" w:rsidRDefault="00906739" w:rsidP="00906739">
      <w:pPr>
        <w:pStyle w:val="ListParagraph"/>
        <w:ind w:left="1440"/>
        <w:jc w:val="both"/>
      </w:pPr>
    </w:p>
    <w:p w14:paraId="3075535F" w14:textId="0969763A" w:rsidR="000752F7" w:rsidRPr="00372ECC" w:rsidRDefault="000752F7" w:rsidP="000752F7">
      <w:pPr>
        <w:pStyle w:val="ListParagraph"/>
        <w:numPr>
          <w:ilvl w:val="0"/>
          <w:numId w:val="2"/>
        </w:numPr>
        <w:jc w:val="both"/>
      </w:pPr>
      <w:r>
        <w:rPr>
          <w:b/>
        </w:rPr>
        <w:t xml:space="preserve">External </w:t>
      </w:r>
      <w:r w:rsidR="00300778">
        <w:rPr>
          <w:b/>
        </w:rPr>
        <w:t>Offenders with Mental Illness Workgroup</w:t>
      </w:r>
      <w:r w:rsidR="00300778">
        <w:rPr>
          <w:b/>
        </w:rPr>
        <w:tab/>
      </w:r>
      <w:r w:rsidR="00300778">
        <w:rPr>
          <w:b/>
        </w:rPr>
        <w:tab/>
      </w:r>
      <w:r w:rsidR="00300778">
        <w:rPr>
          <w:b/>
        </w:rPr>
        <w:tab/>
        <w:t xml:space="preserve">Launched </w:t>
      </w:r>
      <w:r w:rsidR="00D83FB5">
        <w:rPr>
          <w:b/>
        </w:rPr>
        <w:t>7/31</w:t>
      </w:r>
      <w:r w:rsidR="00300778">
        <w:rPr>
          <w:b/>
        </w:rPr>
        <w:t>/2014</w:t>
      </w:r>
    </w:p>
    <w:p w14:paraId="200C3D5A" w14:textId="21EB9E36" w:rsidR="000752F7" w:rsidRDefault="00D83FB5" w:rsidP="00D83FB5">
      <w:pPr>
        <w:pStyle w:val="ListParagraph"/>
        <w:jc w:val="both"/>
      </w:pPr>
      <w:r>
        <w:t xml:space="preserve">In collaboration with </w:t>
      </w:r>
      <w:r w:rsidRPr="00D83FB5">
        <w:t>the National Alliance on Mental Illness of Minnesota</w:t>
      </w:r>
      <w:r>
        <w:t>, this workgroup was c</w:t>
      </w:r>
      <w:r w:rsidRPr="00D83FB5">
        <w:t>onven</w:t>
      </w:r>
      <w:r>
        <w:t xml:space="preserve">ed to </w:t>
      </w:r>
      <w:r w:rsidRPr="00D83FB5">
        <w:t xml:space="preserve">address issues related to offenders with mental illness who are arrested or subject to arrest as adopted into the Laws of Minnesota, Chapter 312, Article 29, </w:t>
      </w:r>
      <w:proofErr w:type="gramStart"/>
      <w:r w:rsidRPr="00D83FB5">
        <w:t>Section</w:t>
      </w:r>
      <w:proofErr w:type="gramEnd"/>
      <w:r w:rsidRPr="00D83FB5">
        <w:t xml:space="preserve"> 13.  </w:t>
      </w:r>
      <w:r>
        <w:t xml:space="preserve">This workgroup will be writing a report suggesting recommendations for system improvements.  </w:t>
      </w:r>
      <w:r w:rsidRPr="00D83FB5">
        <w:t xml:space="preserve">CMHS will </w:t>
      </w:r>
      <w:r>
        <w:t xml:space="preserve">share </w:t>
      </w:r>
      <w:r w:rsidRPr="00D83FB5">
        <w:t xml:space="preserve">white paper </w:t>
      </w:r>
      <w:r>
        <w:t xml:space="preserve">content with this workgroup and seek </w:t>
      </w:r>
      <w:r w:rsidRPr="00D83FB5">
        <w:t xml:space="preserve">feedback as appropriate.  </w:t>
      </w:r>
      <w:r>
        <w:t xml:space="preserve">The </w:t>
      </w:r>
      <w:r w:rsidRPr="00D83FB5">
        <w:t>Department extended invitation</w:t>
      </w:r>
      <w:r>
        <w:t>s</w:t>
      </w:r>
      <w:r w:rsidRPr="00D83FB5">
        <w:t xml:space="preserve"> to members of the House Health and Human Services Policy, House Health and Human Services Finance, House Public Safety Finance and Policy, Senate Health, Human Services and Housing, Senate Health and Human Services Division, and Senate Public Safety Committee</w:t>
      </w:r>
      <w:r>
        <w:t>s.  In addition, the following interests are represented on the workgroup:</w:t>
      </w:r>
    </w:p>
    <w:p w14:paraId="44056631" w14:textId="77777777" w:rsidR="00D83FB5" w:rsidRDefault="00D83FB5" w:rsidP="00D83FB5">
      <w:pPr>
        <w:pStyle w:val="ListParagraph"/>
        <w:jc w:val="both"/>
      </w:pPr>
    </w:p>
    <w:p w14:paraId="5A8C330C" w14:textId="0D80D8D6" w:rsidR="00D83FB5" w:rsidRDefault="00822257" w:rsidP="00D83FB5">
      <w:pPr>
        <w:pStyle w:val="ListParagraph"/>
        <w:jc w:val="both"/>
      </w:pPr>
      <w:proofErr w:type="gramStart"/>
      <w:r>
        <w:t xml:space="preserve">•  </w:t>
      </w:r>
      <w:r w:rsidR="00D83FB5">
        <w:t>Minnesota</w:t>
      </w:r>
      <w:proofErr w:type="gramEnd"/>
      <w:r w:rsidR="00D83FB5">
        <w:t xml:space="preserve"> County Attorney’s Association</w:t>
      </w:r>
    </w:p>
    <w:p w14:paraId="4F8F3FA1" w14:textId="230B42D7" w:rsidR="00D83FB5" w:rsidRDefault="00D83FB5" w:rsidP="00D83FB5">
      <w:pPr>
        <w:pStyle w:val="ListParagraph"/>
        <w:jc w:val="both"/>
      </w:pPr>
      <w:proofErr w:type="gramStart"/>
      <w:r>
        <w:t>•  Minnesota</w:t>
      </w:r>
      <w:proofErr w:type="gramEnd"/>
      <w:r>
        <w:t xml:space="preserve"> State Board of Public Defense</w:t>
      </w:r>
    </w:p>
    <w:p w14:paraId="4588EF63" w14:textId="020FF552" w:rsidR="00D83FB5" w:rsidRDefault="00D83FB5" w:rsidP="00D83FB5">
      <w:pPr>
        <w:pStyle w:val="ListParagraph"/>
        <w:jc w:val="both"/>
      </w:pPr>
      <w:proofErr w:type="gramStart"/>
      <w:r>
        <w:t>•  Minnesota</w:t>
      </w:r>
      <w:proofErr w:type="gramEnd"/>
      <w:r>
        <w:t xml:space="preserve"> Police and Peace Officers Association</w:t>
      </w:r>
    </w:p>
    <w:p w14:paraId="31547205" w14:textId="3942FBA5" w:rsidR="00D83FB5" w:rsidRDefault="00D83FB5" w:rsidP="00D83FB5">
      <w:pPr>
        <w:pStyle w:val="ListParagraph"/>
        <w:jc w:val="both"/>
      </w:pPr>
      <w:proofErr w:type="gramStart"/>
      <w:r>
        <w:t>•  Minnesota</w:t>
      </w:r>
      <w:proofErr w:type="gramEnd"/>
      <w:r>
        <w:t xml:space="preserve"> Chiefs of Police Association</w:t>
      </w:r>
    </w:p>
    <w:p w14:paraId="0FA7077B" w14:textId="51843CD6" w:rsidR="00D83FB5" w:rsidRDefault="00D83FB5" w:rsidP="00D83FB5">
      <w:pPr>
        <w:pStyle w:val="ListParagraph"/>
        <w:jc w:val="both"/>
      </w:pPr>
      <w:proofErr w:type="gramStart"/>
      <w:r>
        <w:t>•  Minnesota</w:t>
      </w:r>
      <w:proofErr w:type="gramEnd"/>
      <w:r>
        <w:t xml:space="preserve"> Sheriffs’ Association</w:t>
      </w:r>
    </w:p>
    <w:p w14:paraId="15D6AF1C" w14:textId="5C8B8004" w:rsidR="00D83FB5" w:rsidRDefault="00D83FB5" w:rsidP="00D83FB5">
      <w:pPr>
        <w:pStyle w:val="ListParagraph"/>
        <w:jc w:val="both"/>
      </w:pPr>
      <w:proofErr w:type="gramStart"/>
      <w:r>
        <w:lastRenderedPageBreak/>
        <w:t>•  Minnesota</w:t>
      </w:r>
      <w:proofErr w:type="gramEnd"/>
      <w:r>
        <w:t xml:space="preserve"> Department of Corrections </w:t>
      </w:r>
    </w:p>
    <w:p w14:paraId="68088C34" w14:textId="5C0A9F62" w:rsidR="00D83FB5" w:rsidRDefault="00D83FB5" w:rsidP="00D83FB5">
      <w:pPr>
        <w:pStyle w:val="ListParagraph"/>
        <w:jc w:val="both"/>
      </w:pPr>
      <w:proofErr w:type="gramStart"/>
      <w:r>
        <w:t>•  Minnesota</w:t>
      </w:r>
      <w:proofErr w:type="gramEnd"/>
      <w:r>
        <w:t xml:space="preserve"> Community Corrections Association</w:t>
      </w:r>
    </w:p>
    <w:p w14:paraId="2AF78839" w14:textId="2F3BF1E8" w:rsidR="00D83FB5" w:rsidRDefault="00D83FB5" w:rsidP="00D83FB5">
      <w:pPr>
        <w:pStyle w:val="ListParagraph"/>
        <w:jc w:val="both"/>
      </w:pPr>
      <w:proofErr w:type="gramStart"/>
      <w:r>
        <w:t>•  Minnesota</w:t>
      </w:r>
      <w:proofErr w:type="gramEnd"/>
      <w:r>
        <w:t xml:space="preserve"> Association of County Probation Officers</w:t>
      </w:r>
    </w:p>
    <w:p w14:paraId="7531CAAC" w14:textId="51B7CF0A" w:rsidR="00D83FB5" w:rsidRDefault="00D83FB5" w:rsidP="00D83FB5">
      <w:pPr>
        <w:pStyle w:val="ListParagraph"/>
        <w:jc w:val="both"/>
      </w:pPr>
      <w:proofErr w:type="gramStart"/>
      <w:r>
        <w:t>•  The</w:t>
      </w:r>
      <w:proofErr w:type="gramEnd"/>
      <w:r>
        <w:t xml:space="preserve"> Chief Justice of the Minnesota Supreme Court</w:t>
      </w:r>
    </w:p>
    <w:p w14:paraId="12390BC4" w14:textId="70F42074" w:rsidR="00D83FB5" w:rsidRDefault="00D83FB5" w:rsidP="00D83FB5">
      <w:pPr>
        <w:pStyle w:val="ListParagraph"/>
        <w:jc w:val="both"/>
      </w:pPr>
      <w:proofErr w:type="gramStart"/>
      <w:r>
        <w:t>•  Association</w:t>
      </w:r>
      <w:proofErr w:type="gramEnd"/>
      <w:r>
        <w:t xml:space="preserve"> of Minnesota Counties</w:t>
      </w:r>
    </w:p>
    <w:p w14:paraId="31852B9B" w14:textId="460D227F" w:rsidR="00D83FB5" w:rsidRDefault="00D83FB5" w:rsidP="00D83FB5">
      <w:pPr>
        <w:pStyle w:val="ListParagraph"/>
        <w:jc w:val="both"/>
      </w:pPr>
      <w:proofErr w:type="gramStart"/>
      <w:r>
        <w:t>•  Minnesota</w:t>
      </w:r>
      <w:proofErr w:type="gramEnd"/>
      <w:r>
        <w:t xml:space="preserve"> Association of County Social Service Administrators</w:t>
      </w:r>
    </w:p>
    <w:p w14:paraId="5CE6A522" w14:textId="53627E2C" w:rsidR="00D83FB5" w:rsidRDefault="00D83FB5" w:rsidP="00D83FB5">
      <w:pPr>
        <w:pStyle w:val="ListParagraph"/>
        <w:jc w:val="both"/>
      </w:pPr>
      <w:proofErr w:type="gramStart"/>
      <w:r>
        <w:t>•  League</w:t>
      </w:r>
      <w:proofErr w:type="gramEnd"/>
      <w:r>
        <w:t xml:space="preserve"> of Minnesota Cities</w:t>
      </w:r>
    </w:p>
    <w:p w14:paraId="175A02AA" w14:textId="1556AB52" w:rsidR="00D83FB5" w:rsidRDefault="00D83FB5" w:rsidP="00D83FB5">
      <w:pPr>
        <w:pStyle w:val="ListParagraph"/>
        <w:jc w:val="both"/>
      </w:pPr>
      <w:proofErr w:type="gramStart"/>
      <w:r>
        <w:t>•  National</w:t>
      </w:r>
      <w:proofErr w:type="gramEnd"/>
      <w:r>
        <w:t xml:space="preserve"> Alliance on Mental Illness of Minnesota</w:t>
      </w:r>
    </w:p>
    <w:p w14:paraId="7324EA27" w14:textId="6E7F944B" w:rsidR="00D83FB5" w:rsidRDefault="00D83FB5" w:rsidP="00D83FB5">
      <w:pPr>
        <w:pStyle w:val="ListParagraph"/>
        <w:jc w:val="both"/>
      </w:pPr>
      <w:proofErr w:type="gramStart"/>
      <w:r>
        <w:t>•  Mental</w:t>
      </w:r>
      <w:proofErr w:type="gramEnd"/>
      <w:r>
        <w:t xml:space="preserve"> Health Consumer/Survivor Network</w:t>
      </w:r>
    </w:p>
    <w:p w14:paraId="6A37D56C" w14:textId="6381A065" w:rsidR="00D83FB5" w:rsidRDefault="00D83FB5" w:rsidP="00D83FB5">
      <w:pPr>
        <w:pStyle w:val="ListParagraph"/>
        <w:jc w:val="both"/>
      </w:pPr>
      <w:proofErr w:type="gramStart"/>
      <w:r>
        <w:t>•  Mental</w:t>
      </w:r>
      <w:proofErr w:type="gramEnd"/>
      <w:r>
        <w:t xml:space="preserve"> Health Association of Minnesota</w:t>
      </w:r>
    </w:p>
    <w:p w14:paraId="7B0388CA" w14:textId="4021662E" w:rsidR="00D83FB5" w:rsidRDefault="00D83FB5" w:rsidP="00D83FB5">
      <w:pPr>
        <w:pStyle w:val="ListParagraph"/>
        <w:jc w:val="both"/>
      </w:pPr>
      <w:proofErr w:type="gramStart"/>
      <w:r>
        <w:t>•  Disability</w:t>
      </w:r>
      <w:proofErr w:type="gramEnd"/>
      <w:r>
        <w:t xml:space="preserve"> Law Center of Minnesota</w:t>
      </w:r>
    </w:p>
    <w:p w14:paraId="51A3B78D" w14:textId="68F2D732" w:rsidR="00D83FB5" w:rsidRDefault="00D83FB5" w:rsidP="00D83FB5">
      <w:pPr>
        <w:pStyle w:val="ListParagraph"/>
        <w:jc w:val="both"/>
      </w:pPr>
      <w:proofErr w:type="gramStart"/>
      <w:r>
        <w:t>•  Minnesota</w:t>
      </w:r>
      <w:proofErr w:type="gramEnd"/>
      <w:r>
        <w:t xml:space="preserve"> Association of Community Mental Health Programs</w:t>
      </w:r>
    </w:p>
    <w:p w14:paraId="10C573F8" w14:textId="1362AA91" w:rsidR="00D83FB5" w:rsidRDefault="00D83FB5" w:rsidP="00D83FB5">
      <w:pPr>
        <w:pStyle w:val="ListParagraph"/>
        <w:jc w:val="both"/>
      </w:pPr>
      <w:proofErr w:type="gramStart"/>
      <w:r>
        <w:t>•  Mental</w:t>
      </w:r>
      <w:proofErr w:type="gramEnd"/>
      <w:r>
        <w:t xml:space="preserve"> Health Providers Association of Minnesota</w:t>
      </w:r>
    </w:p>
    <w:p w14:paraId="01FE991C" w14:textId="705FFE29" w:rsidR="00D83FB5" w:rsidRDefault="00D83FB5" w:rsidP="00D83FB5">
      <w:pPr>
        <w:pStyle w:val="ListParagraph"/>
        <w:jc w:val="both"/>
      </w:pPr>
      <w:proofErr w:type="gramStart"/>
      <w:r>
        <w:t>•  East</w:t>
      </w:r>
      <w:proofErr w:type="gramEnd"/>
      <w:r>
        <w:t xml:space="preserve"> Metro Crisis Alliance COPE – Hennepin County</w:t>
      </w:r>
    </w:p>
    <w:p w14:paraId="1F447A80" w14:textId="32817DAA" w:rsidR="00D83FB5" w:rsidRDefault="00D83FB5" w:rsidP="00D83FB5">
      <w:pPr>
        <w:pStyle w:val="ListParagraph"/>
        <w:jc w:val="both"/>
      </w:pPr>
      <w:proofErr w:type="gramStart"/>
      <w:r>
        <w:t>•  Minnesota</w:t>
      </w:r>
      <w:proofErr w:type="gramEnd"/>
      <w:r>
        <w:t xml:space="preserve"> Psychiatry Society</w:t>
      </w:r>
    </w:p>
    <w:p w14:paraId="211C443D" w14:textId="080D5DF2" w:rsidR="00D83FB5" w:rsidRDefault="00D83FB5" w:rsidP="00D83FB5">
      <w:pPr>
        <w:pStyle w:val="ListParagraph"/>
        <w:jc w:val="both"/>
      </w:pPr>
      <w:proofErr w:type="gramStart"/>
      <w:r>
        <w:t>•  Minnesota</w:t>
      </w:r>
      <w:proofErr w:type="gramEnd"/>
      <w:r>
        <w:t xml:space="preserve"> Psychological Association</w:t>
      </w:r>
    </w:p>
    <w:p w14:paraId="5472AA6E" w14:textId="212B612E" w:rsidR="00D83FB5" w:rsidRDefault="00D83FB5" w:rsidP="00D83FB5">
      <w:pPr>
        <w:pStyle w:val="ListParagraph"/>
        <w:jc w:val="both"/>
      </w:pPr>
      <w:proofErr w:type="gramStart"/>
      <w:r>
        <w:t>•  Minnesota</w:t>
      </w:r>
      <w:proofErr w:type="gramEnd"/>
      <w:r>
        <w:t xml:space="preserve"> Council of Health Plans</w:t>
      </w:r>
    </w:p>
    <w:p w14:paraId="4E0128BC" w14:textId="76E02607" w:rsidR="00D83FB5" w:rsidRDefault="00D83FB5" w:rsidP="00D83FB5">
      <w:pPr>
        <w:pStyle w:val="ListParagraph"/>
        <w:jc w:val="both"/>
      </w:pPr>
      <w:proofErr w:type="gramStart"/>
      <w:r>
        <w:t>•  Minnesota</w:t>
      </w:r>
      <w:proofErr w:type="gramEnd"/>
      <w:r>
        <w:t xml:space="preserve"> Hospital Association</w:t>
      </w:r>
    </w:p>
    <w:p w14:paraId="6E12F658" w14:textId="4FED48E1" w:rsidR="00D83FB5" w:rsidRDefault="00D83FB5" w:rsidP="00D83FB5">
      <w:pPr>
        <w:pStyle w:val="ListParagraph"/>
        <w:jc w:val="both"/>
      </w:pPr>
      <w:proofErr w:type="gramStart"/>
      <w:r>
        <w:t>•  State</w:t>
      </w:r>
      <w:proofErr w:type="gramEnd"/>
      <w:r>
        <w:t xml:space="preserve"> Mental Health Advisory Council</w:t>
      </w:r>
    </w:p>
    <w:p w14:paraId="39682710" w14:textId="77777777" w:rsidR="00822257" w:rsidRPr="00F05133" w:rsidRDefault="00822257" w:rsidP="00822257">
      <w:pPr>
        <w:pStyle w:val="ListParagraph"/>
        <w:ind w:left="1440"/>
        <w:jc w:val="both"/>
      </w:pPr>
    </w:p>
    <w:p w14:paraId="6BAF603C" w14:textId="39177B0E" w:rsidR="00822257" w:rsidRPr="00372ECC" w:rsidRDefault="00822257" w:rsidP="00822257">
      <w:pPr>
        <w:pStyle w:val="ListParagraph"/>
        <w:numPr>
          <w:ilvl w:val="0"/>
          <w:numId w:val="2"/>
        </w:numPr>
        <w:jc w:val="both"/>
      </w:pPr>
      <w:r>
        <w:rPr>
          <w:b/>
        </w:rPr>
        <w:t>External Mental Health Service Rate Reform Workgroup</w:t>
      </w:r>
      <w:r>
        <w:rPr>
          <w:b/>
        </w:rPr>
        <w:tab/>
      </w:r>
      <w:r>
        <w:rPr>
          <w:b/>
        </w:rPr>
        <w:tab/>
        <w:t>Launched 8/1/2014</w:t>
      </w:r>
    </w:p>
    <w:p w14:paraId="1B6EE202" w14:textId="77777777" w:rsidR="00822257" w:rsidRDefault="00822257" w:rsidP="00822257">
      <w:pPr>
        <w:pStyle w:val="ListParagraph"/>
        <w:jc w:val="both"/>
      </w:pPr>
      <w:r>
        <w:t>This workgroup was c</w:t>
      </w:r>
      <w:r w:rsidRPr="00D83FB5">
        <w:t>onven</w:t>
      </w:r>
      <w:r>
        <w:t xml:space="preserve">ed to </w:t>
      </w:r>
      <w:r w:rsidRPr="00D83FB5">
        <w:t xml:space="preserve">address issues related to </w:t>
      </w:r>
      <w:r w:rsidRPr="00822257">
        <w:t>the legislative report on cost-based rates for Assertive Community Treatment (ACT), Intensive Residential Treatment Services (IRTS), and Residential Crisis Services (RCS)</w:t>
      </w:r>
      <w:r>
        <w:t xml:space="preserve"> as adopted into the </w:t>
      </w:r>
      <w:r w:rsidRPr="00822257">
        <w:t xml:space="preserve">Laws of Minnesota, Chapter 312, Article 29, Section 15.  </w:t>
      </w:r>
      <w:r>
        <w:t>This workgroup will organize itself and write a report suggesting recommendations to the payment rate methodology for mental health services.  Team members include representatives from:</w:t>
      </w:r>
    </w:p>
    <w:p w14:paraId="07E13960" w14:textId="77777777" w:rsidR="00822257" w:rsidRDefault="00822257" w:rsidP="00822257">
      <w:pPr>
        <w:pStyle w:val="ListParagraph"/>
        <w:numPr>
          <w:ilvl w:val="1"/>
          <w:numId w:val="2"/>
        </w:numPr>
        <w:jc w:val="both"/>
        <w:sectPr w:rsidR="00822257" w:rsidSect="00C17D4C">
          <w:headerReference w:type="default" r:id="rId14"/>
          <w:type w:val="continuous"/>
          <w:pgSz w:w="12240" w:h="15840"/>
          <w:pgMar w:top="1440" w:right="1440" w:bottom="1440" w:left="1440" w:header="720" w:footer="720" w:gutter="0"/>
          <w:cols w:space="720"/>
          <w:docGrid w:linePitch="360"/>
        </w:sectPr>
      </w:pPr>
    </w:p>
    <w:p w14:paraId="6662D8C3" w14:textId="795E8671" w:rsidR="00822257" w:rsidRPr="008D6C3D" w:rsidRDefault="00822257" w:rsidP="00822257">
      <w:pPr>
        <w:pStyle w:val="ListParagraph"/>
        <w:numPr>
          <w:ilvl w:val="1"/>
          <w:numId w:val="2"/>
        </w:numPr>
        <w:jc w:val="both"/>
      </w:pPr>
      <w:r w:rsidRPr="008D6C3D">
        <w:rPr>
          <w:b/>
          <w:u w:val="single"/>
        </w:rPr>
        <w:lastRenderedPageBreak/>
        <w:t>State:</w:t>
      </w:r>
      <w:r w:rsidRPr="008D6C3D">
        <w:t xml:space="preserve">  The Department of Human Services </w:t>
      </w:r>
    </w:p>
    <w:p w14:paraId="79229637" w14:textId="3A58A5F2" w:rsidR="00822257" w:rsidRPr="008D6C3D" w:rsidRDefault="00822257" w:rsidP="00822257">
      <w:pPr>
        <w:pStyle w:val="ListParagraph"/>
        <w:numPr>
          <w:ilvl w:val="1"/>
          <w:numId w:val="2"/>
        </w:numPr>
        <w:jc w:val="both"/>
      </w:pPr>
      <w:r w:rsidRPr="008D6C3D">
        <w:rPr>
          <w:b/>
          <w:u w:val="single"/>
        </w:rPr>
        <w:t>Counties:</w:t>
      </w:r>
      <w:r w:rsidRPr="008D6C3D">
        <w:t xml:space="preserve">  Association of Minnesota Counties, Minnesota Association of County Social Services Administrators, County-based Purchasing</w:t>
      </w:r>
    </w:p>
    <w:p w14:paraId="3EE9B2F8" w14:textId="29826322" w:rsidR="00822257" w:rsidRPr="008D6C3D" w:rsidRDefault="00822257" w:rsidP="00822257">
      <w:pPr>
        <w:pStyle w:val="ListParagraph"/>
        <w:numPr>
          <w:ilvl w:val="1"/>
          <w:numId w:val="2"/>
        </w:numPr>
        <w:jc w:val="both"/>
      </w:pPr>
      <w:r w:rsidRPr="008D6C3D">
        <w:rPr>
          <w:b/>
          <w:u w:val="single"/>
        </w:rPr>
        <w:t>Advocacy, Consumer’s &amp; Families:</w:t>
      </w:r>
      <w:r w:rsidRPr="008D6C3D">
        <w:rPr>
          <w:b/>
        </w:rPr>
        <w:t xml:space="preserve">  </w:t>
      </w:r>
      <w:r w:rsidRPr="008D6C3D">
        <w:t xml:space="preserve">National Alliance on Mental Illness-MN, Consumer Survivor Network, Mental Health Association of Minnesota, </w:t>
      </w:r>
    </w:p>
    <w:p w14:paraId="0DA8601B" w14:textId="0A21E6F2" w:rsidR="008D6C3D" w:rsidRDefault="00822257" w:rsidP="008D6C3D">
      <w:pPr>
        <w:pStyle w:val="ListParagraph"/>
        <w:numPr>
          <w:ilvl w:val="1"/>
          <w:numId w:val="2"/>
        </w:numPr>
        <w:jc w:val="both"/>
      </w:pPr>
      <w:r w:rsidRPr="008D6C3D">
        <w:rPr>
          <w:b/>
          <w:u w:val="single"/>
        </w:rPr>
        <w:t>Hospitals, Providers, &amp; Health Plans:</w:t>
      </w:r>
      <w:r w:rsidRPr="008D6C3D">
        <w:t xml:space="preserve">  The Minnesota Hospital Association, Minnesota Council of Health Plans, Mental Health Providers Association of Minnesota, </w:t>
      </w:r>
      <w:r w:rsidR="008D6C3D" w:rsidRPr="008D6C3D">
        <w:t>Minnesota Association of Community Mental Health Programs, Wilder Programs, Assertive Community Treatment Teams, Tasks Unlimited, Inc., Central Minnesota Mental Health Center, Woodland Centers</w:t>
      </w:r>
    </w:p>
    <w:p w14:paraId="76B200AC" w14:textId="77777777" w:rsidR="00490C63" w:rsidRDefault="00490C63" w:rsidP="00490C63">
      <w:pPr>
        <w:pStyle w:val="ListParagraph"/>
        <w:ind w:left="1440"/>
        <w:jc w:val="both"/>
      </w:pPr>
    </w:p>
    <w:p w14:paraId="7B1222B3" w14:textId="3C0BE97D" w:rsidR="00527CA0" w:rsidRPr="00372ECC" w:rsidRDefault="00527CA0" w:rsidP="00527CA0">
      <w:pPr>
        <w:pStyle w:val="ListParagraph"/>
        <w:numPr>
          <w:ilvl w:val="0"/>
          <w:numId w:val="2"/>
        </w:numPr>
        <w:jc w:val="both"/>
      </w:pPr>
      <w:r>
        <w:rPr>
          <w:b/>
        </w:rPr>
        <w:t>Regional Round Tables</w:t>
      </w:r>
      <w:r>
        <w:rPr>
          <w:b/>
        </w:rPr>
        <w:tab/>
      </w:r>
      <w:r>
        <w:rPr>
          <w:b/>
        </w:rPr>
        <w:tab/>
      </w:r>
      <w:r>
        <w:rPr>
          <w:b/>
        </w:rPr>
        <w:tab/>
      </w:r>
      <w:r>
        <w:rPr>
          <w:b/>
        </w:rPr>
        <w:tab/>
      </w:r>
      <w:r>
        <w:rPr>
          <w:b/>
        </w:rPr>
        <w:tab/>
      </w:r>
      <w:r>
        <w:rPr>
          <w:b/>
        </w:rPr>
        <w:tab/>
      </w:r>
      <w:r>
        <w:rPr>
          <w:b/>
        </w:rPr>
        <w:tab/>
        <w:t>Launched 8/22/2014</w:t>
      </w:r>
    </w:p>
    <w:p w14:paraId="5578DA3E" w14:textId="43C56311" w:rsidR="00D83FB5" w:rsidRDefault="00527CA0" w:rsidP="00527CA0">
      <w:pPr>
        <w:pStyle w:val="ListParagraph"/>
        <w:jc w:val="both"/>
      </w:pPr>
      <w:r>
        <w:lastRenderedPageBreak/>
        <w:t xml:space="preserve">The department will hold a series of regional round tables across the State to discuss concerns about the mental health system with Consumers, their families, and Counties.  </w:t>
      </w:r>
    </w:p>
    <w:p w14:paraId="25BD5B8A" w14:textId="77777777" w:rsidR="00D62E4D" w:rsidRDefault="00D62E4D" w:rsidP="00527CA0">
      <w:pPr>
        <w:pStyle w:val="ListParagraph"/>
        <w:jc w:val="both"/>
      </w:pPr>
    </w:p>
    <w:p w14:paraId="400405A2" w14:textId="2DF775F7" w:rsidR="00D62E4D" w:rsidRPr="00372ECC" w:rsidRDefault="00D62E4D" w:rsidP="00D62E4D">
      <w:pPr>
        <w:pStyle w:val="ListParagraph"/>
        <w:numPr>
          <w:ilvl w:val="0"/>
          <w:numId w:val="2"/>
        </w:numPr>
        <w:jc w:val="both"/>
      </w:pPr>
      <w:r>
        <w:rPr>
          <w:b/>
        </w:rPr>
        <w:t>Individual State Agency Meetings</w:t>
      </w:r>
      <w:r>
        <w:rPr>
          <w:b/>
        </w:rPr>
        <w:tab/>
      </w:r>
      <w:r>
        <w:rPr>
          <w:b/>
        </w:rPr>
        <w:tab/>
      </w:r>
      <w:r>
        <w:rPr>
          <w:b/>
        </w:rPr>
        <w:tab/>
      </w:r>
      <w:r>
        <w:rPr>
          <w:b/>
        </w:rPr>
        <w:tab/>
      </w:r>
      <w:r>
        <w:rPr>
          <w:b/>
        </w:rPr>
        <w:tab/>
        <w:t>Launched 7/31/2014</w:t>
      </w:r>
    </w:p>
    <w:p w14:paraId="6C6D813E" w14:textId="23403CDF" w:rsidR="00D62E4D" w:rsidRDefault="00D62E4D" w:rsidP="005E4E8D">
      <w:pPr>
        <w:pStyle w:val="ListParagraph"/>
        <w:jc w:val="both"/>
      </w:pPr>
      <w:r>
        <w:t xml:space="preserve">The department will meet with the Minnesota Department of Health, Minnesota Department of Corrections, and others, as needed to identify common goals, concepts and hear concerns prior to the 2015 Legislative Session.  Some of these concepts may compliment work being created for subsequent legislative sessions.    </w:t>
      </w:r>
    </w:p>
    <w:p w14:paraId="25D0BD06" w14:textId="77777777" w:rsidR="00490C63" w:rsidRDefault="00490C63" w:rsidP="00527CA0">
      <w:pPr>
        <w:pStyle w:val="ListParagraph"/>
        <w:jc w:val="both"/>
      </w:pPr>
    </w:p>
    <w:p w14:paraId="78C089A3" w14:textId="108186C8" w:rsidR="00527CA0" w:rsidRPr="00372ECC" w:rsidRDefault="00527CA0" w:rsidP="00527CA0">
      <w:pPr>
        <w:pStyle w:val="ListParagraph"/>
        <w:numPr>
          <w:ilvl w:val="0"/>
          <w:numId w:val="2"/>
        </w:numPr>
        <w:jc w:val="both"/>
      </w:pPr>
      <w:r>
        <w:rPr>
          <w:b/>
        </w:rPr>
        <w:t>Individual Legislator Meetings</w:t>
      </w:r>
      <w:r>
        <w:rPr>
          <w:b/>
        </w:rPr>
        <w:tab/>
      </w:r>
      <w:r>
        <w:rPr>
          <w:b/>
        </w:rPr>
        <w:tab/>
      </w:r>
      <w:r>
        <w:rPr>
          <w:b/>
        </w:rPr>
        <w:tab/>
      </w:r>
      <w:r>
        <w:rPr>
          <w:b/>
        </w:rPr>
        <w:tab/>
      </w:r>
      <w:r>
        <w:rPr>
          <w:b/>
        </w:rPr>
        <w:tab/>
      </w:r>
      <w:r>
        <w:rPr>
          <w:b/>
        </w:rPr>
        <w:tab/>
        <w:t xml:space="preserve">Launched </w:t>
      </w:r>
      <w:r w:rsidR="00490C63">
        <w:rPr>
          <w:b/>
        </w:rPr>
        <w:t>9/1/</w:t>
      </w:r>
      <w:r>
        <w:rPr>
          <w:b/>
        </w:rPr>
        <w:t>2014</w:t>
      </w:r>
    </w:p>
    <w:p w14:paraId="0D6D3C63" w14:textId="42FB4E00" w:rsidR="00527CA0" w:rsidRDefault="00527CA0" w:rsidP="00D62E4D">
      <w:pPr>
        <w:pStyle w:val="ListParagraph"/>
        <w:jc w:val="both"/>
      </w:pPr>
      <w:r>
        <w:t xml:space="preserve">The department will </w:t>
      </w:r>
      <w:r w:rsidR="00490C63">
        <w:t xml:space="preserve">meet individually with key legislators </w:t>
      </w:r>
      <w:r w:rsidR="00490C63" w:rsidRPr="00490C63">
        <w:t>of the House Health and Human Services Policy, House Health and Human Services Finance, Senate Health, Human Services and Housing, Senate Health and Human Services Division Committees</w:t>
      </w:r>
      <w:r w:rsidR="00D62E4D">
        <w:t xml:space="preserve"> to discuss concepts and hear concerns prior to the 2015 Legislative Session.  </w:t>
      </w:r>
    </w:p>
    <w:p w14:paraId="63D03FE8" w14:textId="77777777" w:rsidR="00837B38" w:rsidRDefault="00837B38" w:rsidP="00D62E4D">
      <w:pPr>
        <w:pStyle w:val="ListParagraph"/>
        <w:jc w:val="both"/>
      </w:pPr>
    </w:p>
    <w:p w14:paraId="51E49076" w14:textId="77777777" w:rsidR="00837B38" w:rsidRDefault="00837B38">
      <w:pPr>
        <w:rPr>
          <w:rFonts w:ascii="Baskerville Old Face" w:hAnsi="Baskerville Old Face"/>
          <w:b/>
          <w:sz w:val="36"/>
          <w:szCs w:val="36"/>
          <w:u w:val="single"/>
        </w:rPr>
      </w:pPr>
      <w:r>
        <w:rPr>
          <w:rFonts w:ascii="Baskerville Old Face" w:hAnsi="Baskerville Old Face"/>
          <w:b/>
          <w:sz w:val="36"/>
          <w:szCs w:val="36"/>
          <w:u w:val="single"/>
        </w:rPr>
        <w:br w:type="page"/>
      </w:r>
    </w:p>
    <w:p w14:paraId="34E4117D" w14:textId="2C7FB091" w:rsidR="00837B38" w:rsidRDefault="00837B38" w:rsidP="00837B38">
      <w:pPr>
        <w:rPr>
          <w:rFonts w:ascii="Baskerville Old Face" w:hAnsi="Baskerville Old Face"/>
          <w:b/>
          <w:sz w:val="32"/>
          <w:szCs w:val="32"/>
        </w:rPr>
      </w:pPr>
      <w:r w:rsidRPr="00837B38">
        <w:rPr>
          <w:rFonts w:ascii="Baskerville Old Face" w:hAnsi="Baskerville Old Face"/>
          <w:b/>
          <w:sz w:val="32"/>
          <w:szCs w:val="32"/>
        </w:rPr>
        <w:lastRenderedPageBreak/>
        <w:t>Illustration 1:</w:t>
      </w:r>
    </w:p>
    <w:p w14:paraId="04056382" w14:textId="77777777" w:rsidR="004E0815" w:rsidRPr="00BA3B47" w:rsidRDefault="004E0815" w:rsidP="004E0815">
      <w:pPr>
        <w:jc w:val="center"/>
        <w:rPr>
          <w:rFonts w:ascii="Baskerville Old Face" w:hAnsi="Baskerville Old Face"/>
          <w:b/>
          <w:sz w:val="36"/>
          <w:szCs w:val="36"/>
          <w:u w:val="single"/>
        </w:rPr>
      </w:pPr>
      <w:bookmarkStart w:id="0" w:name="_GoBack"/>
      <w:r w:rsidRPr="00BA3B47">
        <w:rPr>
          <w:rFonts w:ascii="Baskerville Old Face" w:hAnsi="Baskerville Old Face"/>
          <w:b/>
          <w:sz w:val="36"/>
          <w:szCs w:val="36"/>
          <w:u w:val="single"/>
        </w:rPr>
        <w:t>Mental Health Reform 2015 to 2018</w:t>
      </w:r>
    </w:p>
    <w:p w14:paraId="5A47947C" w14:textId="77777777" w:rsidR="004E0815" w:rsidRDefault="004E0815" w:rsidP="004E0815">
      <w:pPr>
        <w:jc w:val="center"/>
        <w:rPr>
          <w:rFonts w:ascii="Baskerville Old Face" w:hAnsi="Baskerville Old Face"/>
          <w:noProof/>
          <w:sz w:val="28"/>
          <w:szCs w:val="28"/>
        </w:rPr>
      </w:pPr>
      <w:r w:rsidRPr="006F539E">
        <w:rPr>
          <w:rFonts w:ascii="Baskerville Old Face" w:hAnsi="Baskerville Old Face"/>
          <w:noProof/>
          <w:sz w:val="28"/>
          <w:szCs w:val="28"/>
        </w:rPr>
        <w:drawing>
          <wp:inline distT="0" distB="0" distL="0" distR="0" wp14:anchorId="5C2F7E1C" wp14:editId="2505D682">
            <wp:extent cx="2857500" cy="1905000"/>
            <wp:effectExtent l="0" t="0" r="0" b="0"/>
            <wp:docPr id="5" name="Picture 5" descr="http://ts1.mm.bing.net/th?&amp;id=HN.607988359426082135&amp;w=300&amp;h=300&amp;c=0&amp;pid=1.9&amp;rs=0&amp;p=0&amp;url=http%3A%2F%2Fwww.moniquehowat.com%2Fprof-developmen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7988359426082135&amp;w=300&amp;h=300&amp;c=0&amp;pid=1.9&amp;rs=0&amp;p=0&amp;url=http%3A%2F%2Fwww.moniquehowat.com%2Fprof-development%2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A27F4D0" w14:textId="77777777" w:rsidR="004E0815" w:rsidRPr="00BA3B47" w:rsidRDefault="004E0815" w:rsidP="004E0815">
      <w:pPr>
        <w:rPr>
          <w:rFonts w:ascii="Baskerville Old Face" w:hAnsi="Baskerville Old Face"/>
          <w:sz w:val="28"/>
          <w:szCs w:val="28"/>
        </w:rPr>
      </w:pPr>
      <w:r w:rsidRPr="00BA3B47">
        <w:rPr>
          <w:rFonts w:ascii="Baskerville Old Face" w:hAnsi="Baskerville Old Face"/>
          <w:noProof/>
          <w:sz w:val="28"/>
          <w:szCs w:val="28"/>
        </w:rPr>
        <w:t xml:space="preserve">Goal :  Improved Access , Quality , Deliverly  and Coordination of Mental Health Services </w:t>
      </w:r>
    </w:p>
    <w:p w14:paraId="475D85F6" w14:textId="77777777" w:rsidR="004E0815" w:rsidRDefault="004E0815" w:rsidP="004E0815"/>
    <w:tbl>
      <w:tblPr>
        <w:tblStyle w:val="TableGrid1"/>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805"/>
        <w:gridCol w:w="1805"/>
        <w:gridCol w:w="5858"/>
      </w:tblGrid>
      <w:tr w:rsidR="004E0815" w:rsidRPr="00AD476D" w14:paraId="58E54E0C" w14:textId="77777777" w:rsidTr="00EC0F99">
        <w:tc>
          <w:tcPr>
            <w:tcW w:w="3610" w:type="dxa"/>
            <w:gridSpan w:val="2"/>
            <w:tcBorders>
              <w:top w:val="thinThickSmallGap" w:sz="24" w:space="0" w:color="auto"/>
              <w:bottom w:val="thinThickSmallGap" w:sz="24" w:space="0" w:color="auto"/>
              <w:right w:val="thinThickSmallGap" w:sz="24" w:space="0" w:color="auto"/>
            </w:tcBorders>
          </w:tcPr>
          <w:p w14:paraId="69E903B5" w14:textId="77777777" w:rsidR="004E0815" w:rsidRPr="00AD476D" w:rsidRDefault="004E0815" w:rsidP="00EC0F99">
            <w:pPr>
              <w:rPr>
                <w:rFonts w:ascii="Garamond" w:hAnsi="Garamond"/>
                <w:b/>
                <w:color w:val="FF0000"/>
                <w:sz w:val="24"/>
                <w:szCs w:val="24"/>
              </w:rPr>
            </w:pPr>
            <w:r w:rsidRPr="00AD476D">
              <w:rPr>
                <w:rFonts w:ascii="Garamond" w:hAnsi="Garamond"/>
                <w:b/>
                <w:color w:val="FF0000"/>
                <w:sz w:val="24"/>
                <w:szCs w:val="24"/>
              </w:rPr>
              <w:t xml:space="preserve">External Stakeholders </w:t>
            </w:r>
          </w:p>
        </w:tc>
        <w:tc>
          <w:tcPr>
            <w:tcW w:w="5858" w:type="dxa"/>
            <w:tcBorders>
              <w:top w:val="thinThickSmallGap" w:sz="24" w:space="0" w:color="auto"/>
              <w:left w:val="thinThickSmallGap" w:sz="24" w:space="0" w:color="auto"/>
              <w:bottom w:val="thinThickSmallGap" w:sz="24" w:space="0" w:color="auto"/>
            </w:tcBorders>
          </w:tcPr>
          <w:p w14:paraId="2B4032B0" w14:textId="77777777" w:rsidR="004E0815" w:rsidRPr="00AD476D" w:rsidRDefault="004E0815" w:rsidP="00EC0F99">
            <w:pPr>
              <w:rPr>
                <w:rFonts w:ascii="Garamond" w:hAnsi="Garamond"/>
                <w:b/>
                <w:sz w:val="24"/>
                <w:szCs w:val="24"/>
              </w:rPr>
            </w:pPr>
            <w:r w:rsidRPr="00AD476D">
              <w:rPr>
                <w:rFonts w:ascii="Garamond" w:hAnsi="Garamond"/>
                <w:b/>
                <w:sz w:val="24"/>
                <w:szCs w:val="24"/>
              </w:rPr>
              <w:t xml:space="preserve">Internal Stakeholders </w:t>
            </w:r>
          </w:p>
        </w:tc>
      </w:tr>
      <w:tr w:rsidR="004E0815" w:rsidRPr="00AD476D" w14:paraId="5A8C4EB9" w14:textId="77777777" w:rsidTr="00EC0F99">
        <w:tc>
          <w:tcPr>
            <w:tcW w:w="3610" w:type="dxa"/>
            <w:gridSpan w:val="2"/>
            <w:tcBorders>
              <w:top w:val="thinThickSmallGap" w:sz="24" w:space="0" w:color="auto"/>
              <w:bottom w:val="thinThickSmallGap" w:sz="24" w:space="0" w:color="auto"/>
              <w:right w:val="thinThickSmallGap" w:sz="24" w:space="0" w:color="auto"/>
            </w:tcBorders>
          </w:tcPr>
          <w:p w14:paraId="6FF00077" w14:textId="77777777" w:rsidR="004E0815" w:rsidRPr="00AD476D" w:rsidRDefault="004E0815" w:rsidP="004E0815">
            <w:pPr>
              <w:numPr>
                <w:ilvl w:val="0"/>
                <w:numId w:val="3"/>
              </w:numPr>
              <w:contextualSpacing/>
              <w:rPr>
                <w:rFonts w:ascii="Garamond" w:hAnsi="Garamond"/>
                <w:b/>
                <w:color w:val="FF0000"/>
                <w:sz w:val="24"/>
                <w:szCs w:val="24"/>
              </w:rPr>
            </w:pPr>
            <w:r w:rsidRPr="00AD476D">
              <w:rPr>
                <w:rFonts w:ascii="Garamond" w:hAnsi="Garamond"/>
                <w:b/>
                <w:color w:val="FF0000"/>
                <w:sz w:val="24"/>
                <w:szCs w:val="24"/>
              </w:rPr>
              <w:t xml:space="preserve">Consumers </w:t>
            </w:r>
          </w:p>
          <w:p w14:paraId="654EDAD3" w14:textId="77777777" w:rsidR="004E0815" w:rsidRPr="00AD476D" w:rsidRDefault="004E0815" w:rsidP="004E0815">
            <w:pPr>
              <w:numPr>
                <w:ilvl w:val="0"/>
                <w:numId w:val="3"/>
              </w:numPr>
              <w:contextualSpacing/>
              <w:rPr>
                <w:rFonts w:ascii="Garamond" w:hAnsi="Garamond"/>
                <w:b/>
                <w:color w:val="FF0000"/>
                <w:sz w:val="24"/>
                <w:szCs w:val="24"/>
              </w:rPr>
            </w:pPr>
            <w:r w:rsidRPr="00AD476D">
              <w:rPr>
                <w:rFonts w:ascii="Garamond" w:hAnsi="Garamond"/>
                <w:b/>
                <w:color w:val="FF0000"/>
                <w:sz w:val="24"/>
                <w:szCs w:val="24"/>
              </w:rPr>
              <w:t xml:space="preserve">Families </w:t>
            </w:r>
          </w:p>
          <w:p w14:paraId="1D2DCBC3" w14:textId="77777777" w:rsidR="004E0815" w:rsidRPr="00AD476D" w:rsidRDefault="004E0815" w:rsidP="004E0815">
            <w:pPr>
              <w:numPr>
                <w:ilvl w:val="0"/>
                <w:numId w:val="3"/>
              </w:numPr>
              <w:contextualSpacing/>
              <w:rPr>
                <w:rFonts w:ascii="Garamond" w:hAnsi="Garamond"/>
                <w:b/>
                <w:color w:val="FF0000"/>
                <w:sz w:val="24"/>
                <w:szCs w:val="24"/>
              </w:rPr>
            </w:pPr>
            <w:r w:rsidRPr="00AD476D">
              <w:rPr>
                <w:rFonts w:ascii="Garamond" w:hAnsi="Garamond"/>
                <w:b/>
                <w:color w:val="FF0000"/>
                <w:sz w:val="24"/>
                <w:szCs w:val="24"/>
              </w:rPr>
              <w:t xml:space="preserve">Advocates </w:t>
            </w:r>
          </w:p>
          <w:p w14:paraId="00EEBC07" w14:textId="77777777" w:rsidR="004E0815" w:rsidRDefault="004E0815" w:rsidP="004E0815">
            <w:pPr>
              <w:numPr>
                <w:ilvl w:val="0"/>
                <w:numId w:val="3"/>
              </w:numPr>
              <w:contextualSpacing/>
              <w:rPr>
                <w:rFonts w:ascii="Garamond" w:hAnsi="Garamond"/>
                <w:b/>
                <w:color w:val="FF0000"/>
                <w:sz w:val="24"/>
                <w:szCs w:val="24"/>
              </w:rPr>
            </w:pPr>
            <w:r w:rsidRPr="00AD476D">
              <w:rPr>
                <w:rFonts w:ascii="Garamond" w:hAnsi="Garamond"/>
                <w:b/>
                <w:color w:val="FF0000"/>
                <w:sz w:val="24"/>
                <w:szCs w:val="24"/>
              </w:rPr>
              <w:t>Provider</w:t>
            </w:r>
            <w:r>
              <w:rPr>
                <w:rFonts w:ascii="Garamond" w:hAnsi="Garamond"/>
                <w:b/>
                <w:color w:val="FF0000"/>
                <w:sz w:val="24"/>
                <w:szCs w:val="24"/>
              </w:rPr>
              <w:t>s</w:t>
            </w:r>
          </w:p>
          <w:p w14:paraId="61B01742" w14:textId="77777777" w:rsidR="004E0815" w:rsidRPr="00AD476D" w:rsidRDefault="004E0815" w:rsidP="004E0815">
            <w:pPr>
              <w:numPr>
                <w:ilvl w:val="0"/>
                <w:numId w:val="3"/>
              </w:numPr>
              <w:contextualSpacing/>
              <w:rPr>
                <w:rFonts w:ascii="Garamond" w:hAnsi="Garamond"/>
                <w:b/>
                <w:color w:val="FF0000"/>
                <w:sz w:val="24"/>
                <w:szCs w:val="24"/>
              </w:rPr>
            </w:pPr>
            <w:r w:rsidRPr="00AD476D">
              <w:rPr>
                <w:rFonts w:ascii="Garamond" w:hAnsi="Garamond"/>
                <w:b/>
                <w:color w:val="FF0000"/>
                <w:sz w:val="24"/>
                <w:szCs w:val="24"/>
              </w:rPr>
              <w:t xml:space="preserve">Hospitals </w:t>
            </w:r>
          </w:p>
          <w:p w14:paraId="3B791A17" w14:textId="77777777" w:rsidR="004E0815" w:rsidRPr="00AD476D" w:rsidRDefault="004E0815" w:rsidP="004E0815">
            <w:pPr>
              <w:numPr>
                <w:ilvl w:val="0"/>
                <w:numId w:val="3"/>
              </w:numPr>
              <w:contextualSpacing/>
              <w:rPr>
                <w:rFonts w:ascii="Garamond" w:hAnsi="Garamond"/>
                <w:b/>
                <w:color w:val="FF0000"/>
                <w:sz w:val="24"/>
                <w:szCs w:val="24"/>
              </w:rPr>
            </w:pPr>
            <w:r w:rsidRPr="00AD476D">
              <w:rPr>
                <w:rFonts w:ascii="Garamond" w:hAnsi="Garamond"/>
                <w:b/>
                <w:color w:val="FF0000"/>
                <w:sz w:val="24"/>
                <w:szCs w:val="24"/>
              </w:rPr>
              <w:t>Health Plans</w:t>
            </w:r>
          </w:p>
          <w:p w14:paraId="2FEAC4DD" w14:textId="77777777" w:rsidR="004E0815" w:rsidRPr="00AD476D" w:rsidRDefault="004E0815" w:rsidP="004E0815">
            <w:pPr>
              <w:numPr>
                <w:ilvl w:val="0"/>
                <w:numId w:val="3"/>
              </w:numPr>
              <w:contextualSpacing/>
              <w:rPr>
                <w:rFonts w:ascii="Garamond" w:hAnsi="Garamond"/>
                <w:b/>
                <w:color w:val="FF0000"/>
                <w:sz w:val="24"/>
                <w:szCs w:val="24"/>
              </w:rPr>
            </w:pPr>
            <w:r w:rsidRPr="00AD476D">
              <w:rPr>
                <w:rFonts w:ascii="Garamond" w:hAnsi="Garamond"/>
                <w:b/>
                <w:color w:val="FF0000"/>
                <w:sz w:val="24"/>
                <w:szCs w:val="24"/>
              </w:rPr>
              <w:t xml:space="preserve">Professionals </w:t>
            </w:r>
          </w:p>
          <w:p w14:paraId="5C8F2A53" w14:textId="77777777" w:rsidR="004E0815" w:rsidRDefault="004E0815" w:rsidP="004E0815">
            <w:pPr>
              <w:numPr>
                <w:ilvl w:val="0"/>
                <w:numId w:val="3"/>
              </w:numPr>
              <w:contextualSpacing/>
              <w:rPr>
                <w:rFonts w:ascii="Garamond" w:hAnsi="Garamond"/>
                <w:b/>
                <w:color w:val="FF0000"/>
                <w:sz w:val="24"/>
                <w:szCs w:val="24"/>
              </w:rPr>
            </w:pPr>
            <w:r>
              <w:rPr>
                <w:rFonts w:ascii="Garamond" w:hAnsi="Garamond"/>
                <w:b/>
                <w:color w:val="FF0000"/>
                <w:sz w:val="24"/>
                <w:szCs w:val="24"/>
              </w:rPr>
              <w:t>Counties</w:t>
            </w:r>
          </w:p>
          <w:p w14:paraId="7B579C66" w14:textId="77777777" w:rsidR="004E0815" w:rsidRPr="00AD476D" w:rsidRDefault="004E0815" w:rsidP="004E0815">
            <w:pPr>
              <w:numPr>
                <w:ilvl w:val="0"/>
                <w:numId w:val="3"/>
              </w:numPr>
              <w:contextualSpacing/>
              <w:rPr>
                <w:rFonts w:ascii="Garamond" w:hAnsi="Garamond"/>
                <w:b/>
                <w:color w:val="FF0000"/>
                <w:sz w:val="24"/>
                <w:szCs w:val="24"/>
              </w:rPr>
            </w:pPr>
            <w:r>
              <w:rPr>
                <w:rFonts w:ascii="Garamond" w:hAnsi="Garamond"/>
                <w:b/>
                <w:color w:val="FF0000"/>
                <w:sz w:val="24"/>
                <w:szCs w:val="24"/>
              </w:rPr>
              <w:t>Mental Health Legislative Network</w:t>
            </w:r>
          </w:p>
        </w:tc>
        <w:tc>
          <w:tcPr>
            <w:tcW w:w="5858" w:type="dxa"/>
            <w:tcBorders>
              <w:top w:val="thinThickSmallGap" w:sz="24" w:space="0" w:color="auto"/>
              <w:left w:val="thinThickSmallGap" w:sz="24" w:space="0" w:color="auto"/>
              <w:bottom w:val="thinThickSmallGap" w:sz="24" w:space="0" w:color="auto"/>
            </w:tcBorders>
          </w:tcPr>
          <w:p w14:paraId="6B17E49F" w14:textId="77777777" w:rsidR="004E0815" w:rsidRPr="00AD476D" w:rsidRDefault="004E0815" w:rsidP="004E0815">
            <w:pPr>
              <w:numPr>
                <w:ilvl w:val="0"/>
                <w:numId w:val="4"/>
              </w:numPr>
              <w:contextualSpacing/>
              <w:rPr>
                <w:rFonts w:ascii="Garamond" w:hAnsi="Garamond"/>
                <w:b/>
                <w:sz w:val="24"/>
                <w:szCs w:val="24"/>
              </w:rPr>
            </w:pPr>
            <w:r>
              <w:rPr>
                <w:rFonts w:ascii="Garamond" w:hAnsi="Garamond"/>
                <w:b/>
                <w:sz w:val="24"/>
                <w:szCs w:val="24"/>
              </w:rPr>
              <w:t>MN Department of Health</w:t>
            </w:r>
            <w:r w:rsidRPr="00AD476D">
              <w:rPr>
                <w:rFonts w:ascii="Garamond" w:hAnsi="Garamond"/>
                <w:b/>
                <w:sz w:val="24"/>
                <w:szCs w:val="24"/>
              </w:rPr>
              <w:t xml:space="preserve">   </w:t>
            </w:r>
          </w:p>
          <w:p w14:paraId="0EAA9370" w14:textId="77777777" w:rsidR="004E0815" w:rsidRPr="00AD476D" w:rsidRDefault="004E0815" w:rsidP="004E0815">
            <w:pPr>
              <w:numPr>
                <w:ilvl w:val="0"/>
                <w:numId w:val="3"/>
              </w:numPr>
              <w:contextualSpacing/>
              <w:rPr>
                <w:rFonts w:ascii="Garamond" w:hAnsi="Garamond"/>
                <w:b/>
                <w:sz w:val="24"/>
                <w:szCs w:val="24"/>
              </w:rPr>
            </w:pPr>
            <w:r w:rsidRPr="00AD476D">
              <w:rPr>
                <w:rFonts w:ascii="Garamond" w:hAnsi="Garamond"/>
                <w:b/>
                <w:sz w:val="24"/>
                <w:szCs w:val="24"/>
              </w:rPr>
              <w:t>D</w:t>
            </w:r>
            <w:r>
              <w:rPr>
                <w:rFonts w:ascii="Garamond" w:hAnsi="Garamond"/>
                <w:b/>
                <w:sz w:val="24"/>
                <w:szCs w:val="24"/>
              </w:rPr>
              <w:t>ept. of Employment &amp; Economic Development</w:t>
            </w:r>
            <w:r w:rsidRPr="00AD476D">
              <w:rPr>
                <w:rFonts w:ascii="Garamond" w:hAnsi="Garamond"/>
                <w:b/>
                <w:sz w:val="24"/>
                <w:szCs w:val="24"/>
              </w:rPr>
              <w:t xml:space="preserve">    </w:t>
            </w:r>
          </w:p>
          <w:p w14:paraId="40E6E3EA" w14:textId="77777777" w:rsidR="004E0815" w:rsidRPr="00AD476D" w:rsidRDefault="004E0815" w:rsidP="004E0815">
            <w:pPr>
              <w:numPr>
                <w:ilvl w:val="0"/>
                <w:numId w:val="3"/>
              </w:numPr>
              <w:contextualSpacing/>
              <w:rPr>
                <w:rFonts w:ascii="Garamond" w:hAnsi="Garamond"/>
                <w:b/>
                <w:sz w:val="24"/>
                <w:szCs w:val="24"/>
              </w:rPr>
            </w:pPr>
            <w:r w:rsidRPr="00AD476D">
              <w:rPr>
                <w:rFonts w:ascii="Garamond" w:hAnsi="Garamond"/>
                <w:b/>
                <w:sz w:val="24"/>
                <w:szCs w:val="24"/>
              </w:rPr>
              <w:t>D</w:t>
            </w:r>
            <w:r>
              <w:rPr>
                <w:rFonts w:ascii="Garamond" w:hAnsi="Garamond"/>
                <w:b/>
                <w:sz w:val="24"/>
                <w:szCs w:val="24"/>
              </w:rPr>
              <w:t>ept. of Corrections</w:t>
            </w:r>
          </w:p>
          <w:p w14:paraId="74C252A2" w14:textId="77777777" w:rsidR="004E0815" w:rsidRPr="00AD476D" w:rsidRDefault="004E0815" w:rsidP="004E0815">
            <w:pPr>
              <w:numPr>
                <w:ilvl w:val="0"/>
                <w:numId w:val="3"/>
              </w:numPr>
              <w:contextualSpacing/>
              <w:rPr>
                <w:rFonts w:ascii="Garamond" w:hAnsi="Garamond"/>
                <w:b/>
                <w:sz w:val="24"/>
                <w:szCs w:val="24"/>
              </w:rPr>
            </w:pPr>
            <w:r w:rsidRPr="00AD476D">
              <w:rPr>
                <w:rFonts w:ascii="Garamond" w:hAnsi="Garamond"/>
                <w:b/>
                <w:sz w:val="24"/>
                <w:szCs w:val="24"/>
              </w:rPr>
              <w:t>D</w:t>
            </w:r>
            <w:r>
              <w:rPr>
                <w:rFonts w:ascii="Garamond" w:hAnsi="Garamond"/>
                <w:b/>
                <w:sz w:val="24"/>
                <w:szCs w:val="24"/>
              </w:rPr>
              <w:t>ept. of Human Services Administrations</w:t>
            </w:r>
          </w:p>
          <w:p w14:paraId="5DE90DC1" w14:textId="77777777" w:rsidR="004E0815" w:rsidRPr="00AD476D" w:rsidRDefault="004E0815" w:rsidP="004E0815">
            <w:pPr>
              <w:numPr>
                <w:ilvl w:val="0"/>
                <w:numId w:val="3"/>
              </w:numPr>
              <w:contextualSpacing/>
              <w:rPr>
                <w:rFonts w:ascii="Garamond" w:hAnsi="Garamond"/>
                <w:b/>
                <w:sz w:val="24"/>
                <w:szCs w:val="24"/>
              </w:rPr>
            </w:pPr>
            <w:r>
              <w:rPr>
                <w:rFonts w:ascii="Garamond" w:hAnsi="Garamond"/>
                <w:b/>
                <w:sz w:val="24"/>
                <w:szCs w:val="24"/>
              </w:rPr>
              <w:t xml:space="preserve">MN </w:t>
            </w:r>
            <w:r w:rsidRPr="00AD476D">
              <w:rPr>
                <w:rFonts w:ascii="Garamond" w:hAnsi="Garamond"/>
                <w:b/>
                <w:sz w:val="24"/>
                <w:szCs w:val="24"/>
              </w:rPr>
              <w:t xml:space="preserve">Housing Finance </w:t>
            </w:r>
          </w:p>
          <w:p w14:paraId="50C19D86" w14:textId="77777777" w:rsidR="004E0815" w:rsidRPr="00AD476D" w:rsidRDefault="004E0815" w:rsidP="004E0815">
            <w:pPr>
              <w:numPr>
                <w:ilvl w:val="0"/>
                <w:numId w:val="3"/>
              </w:numPr>
              <w:contextualSpacing/>
              <w:rPr>
                <w:rFonts w:ascii="Garamond" w:hAnsi="Garamond"/>
                <w:b/>
                <w:sz w:val="24"/>
                <w:szCs w:val="24"/>
              </w:rPr>
            </w:pPr>
            <w:r>
              <w:rPr>
                <w:rFonts w:ascii="Garamond" w:hAnsi="Garamond"/>
                <w:b/>
                <w:sz w:val="24"/>
                <w:szCs w:val="24"/>
              </w:rPr>
              <w:t xml:space="preserve">MN Dept. of </w:t>
            </w:r>
            <w:r w:rsidRPr="00AD476D">
              <w:rPr>
                <w:rFonts w:ascii="Garamond" w:hAnsi="Garamond"/>
                <w:b/>
                <w:sz w:val="24"/>
                <w:szCs w:val="24"/>
              </w:rPr>
              <w:t xml:space="preserve">Commerce </w:t>
            </w:r>
          </w:p>
          <w:p w14:paraId="2EC4F38D" w14:textId="77777777" w:rsidR="004E0815" w:rsidRPr="00AD476D" w:rsidRDefault="004E0815" w:rsidP="004E0815">
            <w:pPr>
              <w:numPr>
                <w:ilvl w:val="0"/>
                <w:numId w:val="3"/>
              </w:numPr>
              <w:contextualSpacing/>
              <w:rPr>
                <w:rFonts w:ascii="Garamond" w:hAnsi="Garamond"/>
                <w:b/>
                <w:sz w:val="24"/>
                <w:szCs w:val="24"/>
              </w:rPr>
            </w:pPr>
            <w:r>
              <w:rPr>
                <w:rFonts w:ascii="Garamond" w:hAnsi="Garamond"/>
                <w:b/>
                <w:sz w:val="24"/>
                <w:szCs w:val="24"/>
              </w:rPr>
              <w:t>MN Dept. of Transportation</w:t>
            </w:r>
          </w:p>
          <w:p w14:paraId="54C021D7" w14:textId="77777777" w:rsidR="004E0815" w:rsidRDefault="004E0815" w:rsidP="004E0815">
            <w:pPr>
              <w:numPr>
                <w:ilvl w:val="0"/>
                <w:numId w:val="3"/>
              </w:numPr>
              <w:contextualSpacing/>
              <w:rPr>
                <w:rFonts w:ascii="Garamond" w:hAnsi="Garamond"/>
                <w:b/>
                <w:sz w:val="24"/>
                <w:szCs w:val="24"/>
              </w:rPr>
            </w:pPr>
            <w:r w:rsidRPr="00AD476D">
              <w:rPr>
                <w:rFonts w:ascii="Garamond" w:hAnsi="Garamond"/>
                <w:b/>
                <w:sz w:val="24"/>
                <w:szCs w:val="24"/>
              </w:rPr>
              <w:t>Higher Ed</w:t>
            </w:r>
            <w:r>
              <w:rPr>
                <w:rFonts w:ascii="Garamond" w:hAnsi="Garamond"/>
                <w:b/>
                <w:sz w:val="24"/>
                <w:szCs w:val="24"/>
              </w:rPr>
              <w:t>ucation</w:t>
            </w:r>
          </w:p>
          <w:p w14:paraId="69DF2918" w14:textId="77777777" w:rsidR="004E0815" w:rsidRPr="00AD476D" w:rsidRDefault="004E0815" w:rsidP="004E0815">
            <w:pPr>
              <w:numPr>
                <w:ilvl w:val="0"/>
                <w:numId w:val="3"/>
              </w:numPr>
              <w:contextualSpacing/>
              <w:rPr>
                <w:rFonts w:ascii="Garamond" w:hAnsi="Garamond"/>
                <w:b/>
                <w:sz w:val="24"/>
                <w:szCs w:val="24"/>
              </w:rPr>
            </w:pPr>
            <w:r>
              <w:rPr>
                <w:rFonts w:ascii="Garamond" w:hAnsi="Garamond"/>
                <w:b/>
                <w:sz w:val="24"/>
                <w:szCs w:val="24"/>
              </w:rPr>
              <w:t>State Advisory Council on Mental Health</w:t>
            </w:r>
          </w:p>
          <w:p w14:paraId="31385E74" w14:textId="77777777" w:rsidR="004E0815" w:rsidRPr="00AD476D" w:rsidRDefault="004E0815" w:rsidP="004E0815">
            <w:pPr>
              <w:numPr>
                <w:ilvl w:val="0"/>
                <w:numId w:val="3"/>
              </w:numPr>
              <w:contextualSpacing/>
              <w:rPr>
                <w:rFonts w:ascii="Garamond" w:hAnsi="Garamond"/>
                <w:b/>
                <w:sz w:val="24"/>
                <w:szCs w:val="24"/>
              </w:rPr>
            </w:pPr>
            <w:r w:rsidRPr="00AD476D">
              <w:rPr>
                <w:rFonts w:ascii="Garamond" w:hAnsi="Garamond"/>
                <w:b/>
                <w:sz w:val="24"/>
                <w:szCs w:val="24"/>
              </w:rPr>
              <w:t>C</w:t>
            </w:r>
            <w:r>
              <w:rPr>
                <w:rFonts w:ascii="Garamond" w:hAnsi="Garamond"/>
                <w:b/>
                <w:sz w:val="24"/>
                <w:szCs w:val="24"/>
              </w:rPr>
              <w:t xml:space="preserve">hemical and Mental Health Services </w:t>
            </w:r>
            <w:r w:rsidRPr="00AD476D">
              <w:rPr>
                <w:rFonts w:ascii="Garamond" w:hAnsi="Garamond"/>
                <w:b/>
                <w:sz w:val="24"/>
                <w:szCs w:val="24"/>
              </w:rPr>
              <w:t xml:space="preserve">Staff </w:t>
            </w:r>
          </w:p>
        </w:tc>
      </w:tr>
      <w:tr w:rsidR="004E0815" w:rsidRPr="00AD476D" w14:paraId="7DBBB963" w14:textId="77777777" w:rsidTr="00EC0F99">
        <w:tc>
          <w:tcPr>
            <w:tcW w:w="3610" w:type="dxa"/>
            <w:gridSpan w:val="2"/>
            <w:tcBorders>
              <w:top w:val="thinThickSmallGap" w:sz="24" w:space="0" w:color="auto"/>
              <w:bottom w:val="thinThickSmallGap" w:sz="24" w:space="0" w:color="auto"/>
              <w:right w:val="thinThickSmallGap" w:sz="24" w:space="0" w:color="auto"/>
            </w:tcBorders>
          </w:tcPr>
          <w:p w14:paraId="53B4ED17" w14:textId="77777777" w:rsidR="004E0815" w:rsidRPr="00AD476D" w:rsidRDefault="004E0815" w:rsidP="00EC0F99">
            <w:pPr>
              <w:rPr>
                <w:rFonts w:ascii="Garamond" w:hAnsi="Garamond"/>
                <w:b/>
                <w:color w:val="FF0000"/>
                <w:sz w:val="24"/>
                <w:szCs w:val="24"/>
              </w:rPr>
            </w:pPr>
            <w:r w:rsidRPr="00AD476D">
              <w:rPr>
                <w:rFonts w:ascii="Garamond" w:hAnsi="Garamond"/>
                <w:b/>
                <w:color w:val="FF0000"/>
                <w:sz w:val="24"/>
                <w:szCs w:val="24"/>
              </w:rPr>
              <w:t xml:space="preserve">Legislator </w:t>
            </w:r>
            <w:r>
              <w:rPr>
                <w:rFonts w:ascii="Garamond" w:hAnsi="Garamond"/>
                <w:b/>
                <w:color w:val="FF0000"/>
                <w:sz w:val="24"/>
                <w:szCs w:val="24"/>
              </w:rPr>
              <w:t xml:space="preserve">1 on 1’s </w:t>
            </w:r>
            <w:r w:rsidRPr="00AD476D">
              <w:rPr>
                <w:rFonts w:ascii="Garamond" w:hAnsi="Garamond"/>
                <w:b/>
                <w:color w:val="FF0000"/>
                <w:sz w:val="24"/>
                <w:szCs w:val="24"/>
              </w:rPr>
              <w:t xml:space="preserve">  </w:t>
            </w:r>
          </w:p>
        </w:tc>
        <w:tc>
          <w:tcPr>
            <w:tcW w:w="5858" w:type="dxa"/>
            <w:vMerge w:val="restart"/>
            <w:tcBorders>
              <w:top w:val="thinThickSmallGap" w:sz="24" w:space="0" w:color="auto"/>
              <w:left w:val="thinThickSmallGap" w:sz="24" w:space="0" w:color="auto"/>
              <w:bottom w:val="thinThickSmallGap" w:sz="24" w:space="0" w:color="auto"/>
            </w:tcBorders>
          </w:tcPr>
          <w:p w14:paraId="5EF87C0C" w14:textId="77777777" w:rsidR="004E0815" w:rsidRPr="00AD476D" w:rsidRDefault="004E0815" w:rsidP="00EC0F99">
            <w:pPr>
              <w:rPr>
                <w:rFonts w:ascii="Garamond" w:hAnsi="Garamond"/>
                <w:b/>
                <w:sz w:val="24"/>
                <w:szCs w:val="24"/>
              </w:rPr>
            </w:pPr>
            <w:r>
              <w:rPr>
                <w:rFonts w:ascii="Garamond" w:hAnsi="Garamond"/>
                <w:b/>
                <w:color w:val="0070C0"/>
                <w:sz w:val="24"/>
                <w:szCs w:val="24"/>
              </w:rPr>
              <w:t xml:space="preserve">Other </w:t>
            </w:r>
            <w:r w:rsidRPr="00AD476D">
              <w:rPr>
                <w:rFonts w:ascii="Garamond" w:hAnsi="Garamond"/>
                <w:b/>
                <w:color w:val="0070C0"/>
                <w:sz w:val="24"/>
                <w:szCs w:val="24"/>
              </w:rPr>
              <w:t>State Agencies</w:t>
            </w:r>
          </w:p>
        </w:tc>
      </w:tr>
      <w:tr w:rsidR="004E0815" w:rsidRPr="00AD476D" w14:paraId="6EBC61CD" w14:textId="77777777" w:rsidTr="00EC0F99">
        <w:tc>
          <w:tcPr>
            <w:tcW w:w="3610" w:type="dxa"/>
            <w:gridSpan w:val="2"/>
            <w:tcBorders>
              <w:top w:val="thinThickSmallGap" w:sz="24" w:space="0" w:color="auto"/>
              <w:bottom w:val="thinThickSmallGap" w:sz="24" w:space="0" w:color="auto"/>
              <w:right w:val="thinThickSmallGap" w:sz="24" w:space="0" w:color="auto"/>
            </w:tcBorders>
          </w:tcPr>
          <w:p w14:paraId="25C413C9" w14:textId="77777777" w:rsidR="004E0815" w:rsidRPr="00AD476D" w:rsidRDefault="004E0815" w:rsidP="00EC0F99">
            <w:pPr>
              <w:rPr>
                <w:rFonts w:ascii="Garamond" w:hAnsi="Garamond"/>
                <w:b/>
                <w:color w:val="FF0000"/>
                <w:sz w:val="24"/>
                <w:szCs w:val="24"/>
              </w:rPr>
            </w:pPr>
            <w:r w:rsidRPr="00AD476D">
              <w:rPr>
                <w:rFonts w:ascii="Garamond" w:hAnsi="Garamond"/>
                <w:b/>
                <w:color w:val="FF0000"/>
                <w:sz w:val="24"/>
                <w:szCs w:val="24"/>
              </w:rPr>
              <w:t xml:space="preserve">Regional Round Tables </w:t>
            </w:r>
          </w:p>
        </w:tc>
        <w:tc>
          <w:tcPr>
            <w:tcW w:w="5858" w:type="dxa"/>
            <w:vMerge/>
            <w:tcBorders>
              <w:top w:val="thinThickSmallGap" w:sz="24" w:space="0" w:color="auto"/>
              <w:left w:val="thinThickSmallGap" w:sz="24" w:space="0" w:color="auto"/>
              <w:bottom w:val="thinThickSmallGap" w:sz="24" w:space="0" w:color="auto"/>
            </w:tcBorders>
          </w:tcPr>
          <w:p w14:paraId="6E37D391" w14:textId="77777777" w:rsidR="004E0815" w:rsidRPr="00AD476D" w:rsidRDefault="004E0815" w:rsidP="00EC0F99">
            <w:pPr>
              <w:ind w:left="720"/>
              <w:contextualSpacing/>
              <w:rPr>
                <w:rFonts w:ascii="Garamond" w:hAnsi="Garamond"/>
                <w:b/>
                <w:sz w:val="24"/>
                <w:szCs w:val="24"/>
              </w:rPr>
            </w:pPr>
          </w:p>
        </w:tc>
      </w:tr>
      <w:tr w:rsidR="004E0815" w:rsidRPr="00AD476D" w14:paraId="065FF152" w14:textId="77777777" w:rsidTr="00EC0F99">
        <w:tc>
          <w:tcPr>
            <w:tcW w:w="1805" w:type="dxa"/>
            <w:tcBorders>
              <w:top w:val="thinThickSmallGap" w:sz="24" w:space="0" w:color="auto"/>
              <w:bottom w:val="thinThickSmallGap" w:sz="24" w:space="0" w:color="auto"/>
              <w:right w:val="thinThickSmallGap" w:sz="24" w:space="0" w:color="auto"/>
            </w:tcBorders>
          </w:tcPr>
          <w:p w14:paraId="4C00E6B0" w14:textId="77777777" w:rsidR="004E0815" w:rsidRPr="00AD476D" w:rsidRDefault="004E0815" w:rsidP="00EC0F99">
            <w:pPr>
              <w:rPr>
                <w:rFonts w:ascii="Garamond" w:hAnsi="Garamond"/>
                <w:b/>
                <w:color w:val="FF0000"/>
                <w:sz w:val="24"/>
                <w:szCs w:val="24"/>
              </w:rPr>
            </w:pPr>
            <w:r w:rsidRPr="00AD476D">
              <w:rPr>
                <w:rFonts w:ascii="Garamond" w:hAnsi="Garamond"/>
                <w:b/>
                <w:color w:val="FF0000"/>
                <w:sz w:val="24"/>
                <w:szCs w:val="24"/>
              </w:rPr>
              <w:t>Offenders w</w:t>
            </w:r>
            <w:r>
              <w:rPr>
                <w:rFonts w:ascii="Garamond" w:hAnsi="Garamond"/>
                <w:b/>
                <w:color w:val="FF0000"/>
                <w:sz w:val="24"/>
                <w:szCs w:val="24"/>
              </w:rPr>
              <w:t>/</w:t>
            </w:r>
            <w:r w:rsidRPr="00AD476D">
              <w:rPr>
                <w:rFonts w:ascii="Garamond" w:hAnsi="Garamond"/>
                <w:b/>
                <w:color w:val="FF0000"/>
                <w:sz w:val="24"/>
                <w:szCs w:val="24"/>
              </w:rPr>
              <w:t>MI</w:t>
            </w:r>
          </w:p>
        </w:tc>
        <w:tc>
          <w:tcPr>
            <w:tcW w:w="1805" w:type="dxa"/>
            <w:tcBorders>
              <w:top w:val="thinThickSmallGap" w:sz="24" w:space="0" w:color="auto"/>
              <w:left w:val="thinThickSmallGap" w:sz="24" w:space="0" w:color="auto"/>
              <w:bottom w:val="thinThickSmallGap" w:sz="24" w:space="0" w:color="auto"/>
              <w:right w:val="thinThickSmallGap" w:sz="24" w:space="0" w:color="auto"/>
            </w:tcBorders>
          </w:tcPr>
          <w:p w14:paraId="599ED975" w14:textId="77777777" w:rsidR="004E0815" w:rsidRPr="00AD476D" w:rsidRDefault="004E0815" w:rsidP="00EC0F99">
            <w:pPr>
              <w:rPr>
                <w:rFonts w:ascii="Garamond" w:hAnsi="Garamond"/>
                <w:b/>
                <w:color w:val="FF0000"/>
                <w:sz w:val="24"/>
                <w:szCs w:val="24"/>
              </w:rPr>
            </w:pPr>
            <w:r w:rsidRPr="00AD476D">
              <w:rPr>
                <w:rFonts w:ascii="Garamond" w:hAnsi="Garamond"/>
                <w:b/>
                <w:color w:val="FF0000"/>
                <w:sz w:val="24"/>
                <w:szCs w:val="24"/>
              </w:rPr>
              <w:t xml:space="preserve">Rate </w:t>
            </w:r>
            <w:r>
              <w:rPr>
                <w:rFonts w:ascii="Garamond" w:hAnsi="Garamond"/>
                <w:b/>
                <w:color w:val="FF0000"/>
                <w:sz w:val="24"/>
                <w:szCs w:val="24"/>
              </w:rPr>
              <w:t>Reform</w:t>
            </w:r>
          </w:p>
        </w:tc>
        <w:tc>
          <w:tcPr>
            <w:tcW w:w="5858" w:type="dxa"/>
            <w:tcBorders>
              <w:top w:val="thinThickSmallGap" w:sz="24" w:space="0" w:color="auto"/>
              <w:left w:val="thinThickSmallGap" w:sz="24" w:space="0" w:color="auto"/>
              <w:bottom w:val="thinThickSmallGap" w:sz="24" w:space="0" w:color="auto"/>
            </w:tcBorders>
          </w:tcPr>
          <w:p w14:paraId="3E095072" w14:textId="77777777" w:rsidR="004E0815" w:rsidRPr="00AD476D" w:rsidRDefault="004E0815" w:rsidP="00EC0F99">
            <w:pPr>
              <w:rPr>
                <w:rFonts w:ascii="Garamond" w:hAnsi="Garamond"/>
                <w:b/>
                <w:sz w:val="24"/>
                <w:szCs w:val="24"/>
              </w:rPr>
            </w:pPr>
            <w:r w:rsidRPr="00AD476D">
              <w:rPr>
                <w:rFonts w:ascii="Garamond" w:hAnsi="Garamond"/>
                <w:b/>
                <w:sz w:val="24"/>
                <w:szCs w:val="24"/>
              </w:rPr>
              <w:t>M</w:t>
            </w:r>
            <w:r>
              <w:rPr>
                <w:rFonts w:ascii="Garamond" w:hAnsi="Garamond"/>
                <w:b/>
                <w:sz w:val="24"/>
                <w:szCs w:val="24"/>
              </w:rPr>
              <w:t>ental Health P</w:t>
            </w:r>
            <w:r w:rsidRPr="00AD476D">
              <w:rPr>
                <w:rFonts w:ascii="Garamond" w:hAnsi="Garamond"/>
                <w:b/>
                <w:sz w:val="24"/>
                <w:szCs w:val="24"/>
              </w:rPr>
              <w:t xml:space="preserve">roposal Drafting Team </w:t>
            </w:r>
          </w:p>
        </w:tc>
      </w:tr>
      <w:tr w:rsidR="004E0815" w:rsidRPr="00AD476D" w14:paraId="7E98BA27" w14:textId="77777777" w:rsidTr="00EC0F99">
        <w:tc>
          <w:tcPr>
            <w:tcW w:w="3610" w:type="dxa"/>
            <w:gridSpan w:val="2"/>
            <w:tcBorders>
              <w:top w:val="thinThickSmallGap" w:sz="24" w:space="0" w:color="auto"/>
              <w:bottom w:val="thickThinSmallGap" w:sz="24" w:space="0" w:color="auto"/>
              <w:right w:val="thinThickSmallGap" w:sz="24" w:space="0" w:color="auto"/>
            </w:tcBorders>
          </w:tcPr>
          <w:p w14:paraId="29B98A57" w14:textId="77777777" w:rsidR="004E0815" w:rsidRPr="00AD476D" w:rsidRDefault="004E0815" w:rsidP="00EC0F99">
            <w:pPr>
              <w:rPr>
                <w:rFonts w:ascii="Garamond" w:hAnsi="Garamond"/>
                <w:b/>
                <w:color w:val="FF0000"/>
                <w:sz w:val="24"/>
                <w:szCs w:val="24"/>
              </w:rPr>
            </w:pPr>
            <w:r w:rsidRPr="00AD476D">
              <w:rPr>
                <w:rFonts w:ascii="Garamond" w:hAnsi="Garamond"/>
                <w:b/>
                <w:color w:val="FF0000"/>
                <w:sz w:val="24"/>
                <w:szCs w:val="24"/>
              </w:rPr>
              <w:t>M</w:t>
            </w:r>
            <w:r>
              <w:rPr>
                <w:rFonts w:ascii="Garamond" w:hAnsi="Garamond"/>
                <w:b/>
                <w:color w:val="FF0000"/>
                <w:sz w:val="24"/>
                <w:szCs w:val="24"/>
              </w:rPr>
              <w:t>ental Health Services</w:t>
            </w:r>
            <w:r w:rsidRPr="00AD476D">
              <w:rPr>
                <w:rFonts w:ascii="Garamond" w:hAnsi="Garamond"/>
                <w:b/>
                <w:color w:val="FF0000"/>
                <w:sz w:val="24"/>
                <w:szCs w:val="24"/>
              </w:rPr>
              <w:t xml:space="preserve"> Improvement Workgroup </w:t>
            </w:r>
          </w:p>
        </w:tc>
        <w:tc>
          <w:tcPr>
            <w:tcW w:w="5858" w:type="dxa"/>
            <w:tcBorders>
              <w:top w:val="thinThickSmallGap" w:sz="24" w:space="0" w:color="auto"/>
              <w:left w:val="thinThickSmallGap" w:sz="24" w:space="0" w:color="auto"/>
              <w:bottom w:val="thickThinSmallGap" w:sz="24" w:space="0" w:color="auto"/>
            </w:tcBorders>
          </w:tcPr>
          <w:p w14:paraId="4DFD043F" w14:textId="77777777" w:rsidR="004E0815" w:rsidRPr="00AD476D" w:rsidRDefault="004E0815" w:rsidP="00EC0F99">
            <w:pPr>
              <w:rPr>
                <w:rFonts w:ascii="Garamond" w:hAnsi="Garamond"/>
                <w:b/>
                <w:sz w:val="24"/>
                <w:szCs w:val="24"/>
              </w:rPr>
            </w:pPr>
            <w:r w:rsidRPr="00AD476D">
              <w:rPr>
                <w:rFonts w:ascii="Garamond" w:hAnsi="Garamond"/>
                <w:b/>
                <w:sz w:val="24"/>
                <w:szCs w:val="24"/>
              </w:rPr>
              <w:t xml:space="preserve">DHS Core Mental Health Reform Team </w:t>
            </w:r>
          </w:p>
        </w:tc>
      </w:tr>
    </w:tbl>
    <w:p w14:paraId="442A5F22" w14:textId="77777777" w:rsidR="004E0815" w:rsidRPr="00AD476D" w:rsidRDefault="004E0815" w:rsidP="004E0815"/>
    <w:bookmarkEnd w:id="0"/>
    <w:p w14:paraId="289063A9" w14:textId="77777777" w:rsidR="004E0815" w:rsidRPr="00AD476D" w:rsidRDefault="004E0815" w:rsidP="004E0815"/>
    <w:p w14:paraId="464C08BC" w14:textId="77777777" w:rsidR="004E0815" w:rsidRDefault="004E0815" w:rsidP="004E0815"/>
    <w:p w14:paraId="6DF7F2EE" w14:textId="77777777" w:rsidR="004E0815" w:rsidRDefault="004E0815" w:rsidP="004E0815"/>
    <w:p w14:paraId="630AD2A7" w14:textId="77777777" w:rsidR="004E0815" w:rsidRPr="00837B38" w:rsidRDefault="004E0815" w:rsidP="00837B38">
      <w:pPr>
        <w:rPr>
          <w:rFonts w:ascii="Baskerville Old Face" w:hAnsi="Baskerville Old Face"/>
          <w:b/>
          <w:sz w:val="32"/>
          <w:szCs w:val="32"/>
        </w:rPr>
      </w:pPr>
    </w:p>
    <w:sectPr w:rsidR="004E0815" w:rsidRPr="00837B38" w:rsidSect="00044761">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5F38B" w14:textId="77777777" w:rsidR="009A4AC4" w:rsidRDefault="009A4AC4" w:rsidP="00EB36B0">
      <w:pPr>
        <w:spacing w:after="0" w:line="240" w:lineRule="auto"/>
      </w:pPr>
      <w:r>
        <w:separator/>
      </w:r>
    </w:p>
  </w:endnote>
  <w:endnote w:type="continuationSeparator" w:id="0">
    <w:p w14:paraId="0C65F38C" w14:textId="77777777" w:rsidR="009A4AC4" w:rsidRDefault="009A4AC4" w:rsidP="00EB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5F389" w14:textId="77777777" w:rsidR="009A4AC4" w:rsidRDefault="009A4AC4" w:rsidP="00EB36B0">
      <w:pPr>
        <w:spacing w:after="0" w:line="240" w:lineRule="auto"/>
      </w:pPr>
      <w:r>
        <w:separator/>
      </w:r>
    </w:p>
  </w:footnote>
  <w:footnote w:type="continuationSeparator" w:id="0">
    <w:p w14:paraId="0C65F38A" w14:textId="77777777" w:rsidR="009A4AC4" w:rsidRDefault="009A4AC4" w:rsidP="00EB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F38D" w14:textId="77777777" w:rsidR="00EB36B0" w:rsidRDefault="00FC7216">
    <w:pPr>
      <w:pStyle w:val="Header"/>
    </w:pPr>
    <w:r>
      <w:t>Glenace Edwall</w:t>
    </w:r>
  </w:p>
  <w:p w14:paraId="0C65F38E" w14:textId="77777777" w:rsidR="00EB36B0" w:rsidRDefault="00EB36B0">
    <w:pPr>
      <w:pStyle w:val="Header"/>
    </w:pPr>
    <w:r>
      <w:t>Minnesota Department of Human Services</w:t>
    </w:r>
  </w:p>
  <w:p w14:paraId="0C65F38F" w14:textId="77777777" w:rsidR="00EB36B0" w:rsidRDefault="00FC7216">
    <w:pPr>
      <w:pStyle w:val="Header"/>
    </w:pPr>
    <w:r>
      <w:t>Chemical and Mental Health</w:t>
    </w:r>
    <w:r w:rsidR="00EB36B0">
      <w:t xml:space="preserve"> Administration</w:t>
    </w:r>
  </w:p>
  <w:p w14:paraId="0C65F390" w14:textId="77777777" w:rsidR="00EB36B0" w:rsidRDefault="00EB36B0">
    <w:pPr>
      <w:pStyle w:val="Header"/>
    </w:pPr>
    <w:r>
      <w:t>July 14, 2014</w:t>
    </w:r>
  </w:p>
  <w:p w14:paraId="0C65F391" w14:textId="77777777" w:rsidR="00EB36B0" w:rsidRDefault="00EB3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E01B" w14:textId="77777777" w:rsidR="00C17D4C" w:rsidRDefault="00C17D4C">
    <w:pPr>
      <w:pStyle w:val="Header"/>
    </w:pPr>
    <w:r>
      <w:t>Glenace Edwall</w:t>
    </w:r>
  </w:p>
  <w:p w14:paraId="5E185D53" w14:textId="77777777" w:rsidR="00C17D4C" w:rsidRDefault="00C17D4C">
    <w:pPr>
      <w:pStyle w:val="Header"/>
    </w:pPr>
    <w:r>
      <w:t>Minnesota Department of Human Services</w:t>
    </w:r>
  </w:p>
  <w:p w14:paraId="67C11A1C" w14:textId="77777777" w:rsidR="00C17D4C" w:rsidRDefault="00C17D4C">
    <w:pPr>
      <w:pStyle w:val="Header"/>
    </w:pPr>
    <w:r>
      <w:t>Chemical and Mental Health Administration</w:t>
    </w:r>
  </w:p>
  <w:p w14:paraId="76137FA8" w14:textId="77777777" w:rsidR="00C17D4C" w:rsidRDefault="00C17D4C">
    <w:pPr>
      <w:pStyle w:val="Header"/>
    </w:pPr>
    <w:r>
      <w:t>July 14, 2014</w:t>
    </w:r>
  </w:p>
  <w:p w14:paraId="651547EA" w14:textId="77777777" w:rsidR="00C17D4C" w:rsidRDefault="00C17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1793" w14:textId="77777777" w:rsidR="00822257" w:rsidRDefault="00822257">
    <w:pPr>
      <w:pStyle w:val="Header"/>
    </w:pPr>
    <w:r>
      <w:t>Glenace Edwall</w:t>
    </w:r>
  </w:p>
  <w:p w14:paraId="5DF65FAE" w14:textId="77777777" w:rsidR="00822257" w:rsidRDefault="00822257">
    <w:pPr>
      <w:pStyle w:val="Header"/>
    </w:pPr>
    <w:r>
      <w:t>Minnesota Department of Human Services</w:t>
    </w:r>
  </w:p>
  <w:p w14:paraId="4FC18B06" w14:textId="77777777" w:rsidR="00822257" w:rsidRDefault="00822257">
    <w:pPr>
      <w:pStyle w:val="Header"/>
    </w:pPr>
    <w:r>
      <w:t>Chemical and Mental Health Administration</w:t>
    </w:r>
  </w:p>
  <w:p w14:paraId="4EFF45D6" w14:textId="77777777" w:rsidR="00822257" w:rsidRDefault="00822257">
    <w:pPr>
      <w:pStyle w:val="Header"/>
    </w:pPr>
    <w:r>
      <w:t>July 14, 2014</w:t>
    </w:r>
  </w:p>
  <w:p w14:paraId="322708B9" w14:textId="77777777" w:rsidR="00822257" w:rsidRDefault="008222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DB93" w14:textId="77777777" w:rsidR="00527CA0" w:rsidRDefault="00527CA0">
    <w:pPr>
      <w:pStyle w:val="Header"/>
    </w:pPr>
    <w:r>
      <w:t>Glenace Edwall</w:t>
    </w:r>
  </w:p>
  <w:p w14:paraId="74E2995B" w14:textId="77777777" w:rsidR="00527CA0" w:rsidRDefault="00527CA0">
    <w:pPr>
      <w:pStyle w:val="Header"/>
    </w:pPr>
    <w:r>
      <w:t>Minnesota Department of Human Services</w:t>
    </w:r>
  </w:p>
  <w:p w14:paraId="34222D53" w14:textId="77777777" w:rsidR="00527CA0" w:rsidRDefault="00527CA0">
    <w:pPr>
      <w:pStyle w:val="Header"/>
    </w:pPr>
    <w:r>
      <w:t>Chemical and Mental Health Administration</w:t>
    </w:r>
  </w:p>
  <w:p w14:paraId="1E3186F8" w14:textId="77777777" w:rsidR="00527CA0" w:rsidRDefault="00527CA0">
    <w:pPr>
      <w:pStyle w:val="Header"/>
    </w:pPr>
    <w:r>
      <w:t>July 14, 2014</w:t>
    </w:r>
  </w:p>
  <w:p w14:paraId="6D13AC50" w14:textId="77777777" w:rsidR="00527CA0" w:rsidRDefault="00527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A5F"/>
    <w:multiLevelType w:val="hybridMultilevel"/>
    <w:tmpl w:val="B3D6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249DB"/>
    <w:multiLevelType w:val="hybridMultilevel"/>
    <w:tmpl w:val="4BEA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65EF4"/>
    <w:multiLevelType w:val="hybridMultilevel"/>
    <w:tmpl w:val="12D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D6235"/>
    <w:multiLevelType w:val="hybridMultilevel"/>
    <w:tmpl w:val="C4D2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B0"/>
    <w:rsid w:val="00044761"/>
    <w:rsid w:val="0004549D"/>
    <w:rsid w:val="000752F7"/>
    <w:rsid w:val="001B0D1F"/>
    <w:rsid w:val="00300778"/>
    <w:rsid w:val="003F3B97"/>
    <w:rsid w:val="00490C63"/>
    <w:rsid w:val="004C4A8B"/>
    <w:rsid w:val="004E0815"/>
    <w:rsid w:val="005050F0"/>
    <w:rsid w:val="00527CA0"/>
    <w:rsid w:val="00571BAF"/>
    <w:rsid w:val="00574A73"/>
    <w:rsid w:val="005E4E8D"/>
    <w:rsid w:val="007706AC"/>
    <w:rsid w:val="00782888"/>
    <w:rsid w:val="00822257"/>
    <w:rsid w:val="00837B38"/>
    <w:rsid w:val="0084189E"/>
    <w:rsid w:val="008A7BB0"/>
    <w:rsid w:val="008D6C3D"/>
    <w:rsid w:val="00906739"/>
    <w:rsid w:val="00923E0C"/>
    <w:rsid w:val="009A4AC4"/>
    <w:rsid w:val="00B13096"/>
    <w:rsid w:val="00B84928"/>
    <w:rsid w:val="00BC01F4"/>
    <w:rsid w:val="00C17D4C"/>
    <w:rsid w:val="00C279EE"/>
    <w:rsid w:val="00C779DC"/>
    <w:rsid w:val="00D62E4D"/>
    <w:rsid w:val="00D74C53"/>
    <w:rsid w:val="00D83FB5"/>
    <w:rsid w:val="00E04E93"/>
    <w:rsid w:val="00E32CF7"/>
    <w:rsid w:val="00E87350"/>
    <w:rsid w:val="00EB36B0"/>
    <w:rsid w:val="00FC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6B0"/>
  </w:style>
  <w:style w:type="paragraph" w:styleId="Footer">
    <w:name w:val="footer"/>
    <w:basedOn w:val="Normal"/>
    <w:link w:val="FooterChar"/>
    <w:uiPriority w:val="99"/>
    <w:unhideWhenUsed/>
    <w:rsid w:val="00EB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B0"/>
  </w:style>
  <w:style w:type="paragraph" w:styleId="BalloonText">
    <w:name w:val="Balloon Text"/>
    <w:basedOn w:val="Normal"/>
    <w:link w:val="BalloonTextChar"/>
    <w:uiPriority w:val="99"/>
    <w:semiHidden/>
    <w:unhideWhenUsed/>
    <w:rsid w:val="00EB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B0"/>
    <w:rPr>
      <w:rFonts w:ascii="Tahoma" w:hAnsi="Tahoma" w:cs="Tahoma"/>
      <w:sz w:val="16"/>
      <w:szCs w:val="16"/>
    </w:rPr>
  </w:style>
  <w:style w:type="character" w:customStyle="1" w:styleId="Heading1Char">
    <w:name w:val="Heading 1 Char"/>
    <w:basedOn w:val="DefaultParagraphFont"/>
    <w:link w:val="Heading1"/>
    <w:uiPriority w:val="9"/>
    <w:rsid w:val="00EB36B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B3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6B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752F7"/>
    <w:pPr>
      <w:ind w:left="720"/>
      <w:contextualSpacing/>
    </w:pPr>
  </w:style>
  <w:style w:type="paragraph" w:styleId="FootnoteText">
    <w:name w:val="footnote text"/>
    <w:basedOn w:val="Normal"/>
    <w:link w:val="FootnoteTextChar"/>
    <w:uiPriority w:val="99"/>
    <w:semiHidden/>
    <w:unhideWhenUsed/>
    <w:rsid w:val="00075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2F7"/>
    <w:rPr>
      <w:sz w:val="20"/>
      <w:szCs w:val="20"/>
    </w:rPr>
  </w:style>
  <w:style w:type="character" w:styleId="FootnoteReference">
    <w:name w:val="footnote reference"/>
    <w:basedOn w:val="DefaultParagraphFont"/>
    <w:uiPriority w:val="99"/>
    <w:semiHidden/>
    <w:unhideWhenUsed/>
    <w:rsid w:val="000752F7"/>
    <w:rPr>
      <w:vertAlign w:val="superscript"/>
    </w:rPr>
  </w:style>
  <w:style w:type="paragraph" w:styleId="Subtitle">
    <w:name w:val="Subtitle"/>
    <w:basedOn w:val="Normal"/>
    <w:next w:val="Normal"/>
    <w:link w:val="SubtitleChar"/>
    <w:uiPriority w:val="11"/>
    <w:qFormat/>
    <w:rsid w:val="000752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52F7"/>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8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6B0"/>
  </w:style>
  <w:style w:type="paragraph" w:styleId="Footer">
    <w:name w:val="footer"/>
    <w:basedOn w:val="Normal"/>
    <w:link w:val="FooterChar"/>
    <w:uiPriority w:val="99"/>
    <w:unhideWhenUsed/>
    <w:rsid w:val="00EB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B0"/>
  </w:style>
  <w:style w:type="paragraph" w:styleId="BalloonText">
    <w:name w:val="Balloon Text"/>
    <w:basedOn w:val="Normal"/>
    <w:link w:val="BalloonTextChar"/>
    <w:uiPriority w:val="99"/>
    <w:semiHidden/>
    <w:unhideWhenUsed/>
    <w:rsid w:val="00EB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B0"/>
    <w:rPr>
      <w:rFonts w:ascii="Tahoma" w:hAnsi="Tahoma" w:cs="Tahoma"/>
      <w:sz w:val="16"/>
      <w:szCs w:val="16"/>
    </w:rPr>
  </w:style>
  <w:style w:type="character" w:customStyle="1" w:styleId="Heading1Char">
    <w:name w:val="Heading 1 Char"/>
    <w:basedOn w:val="DefaultParagraphFont"/>
    <w:link w:val="Heading1"/>
    <w:uiPriority w:val="9"/>
    <w:rsid w:val="00EB36B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B3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6B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752F7"/>
    <w:pPr>
      <w:ind w:left="720"/>
      <w:contextualSpacing/>
    </w:pPr>
  </w:style>
  <w:style w:type="paragraph" w:styleId="FootnoteText">
    <w:name w:val="footnote text"/>
    <w:basedOn w:val="Normal"/>
    <w:link w:val="FootnoteTextChar"/>
    <w:uiPriority w:val="99"/>
    <w:semiHidden/>
    <w:unhideWhenUsed/>
    <w:rsid w:val="00075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2F7"/>
    <w:rPr>
      <w:sz w:val="20"/>
      <w:szCs w:val="20"/>
    </w:rPr>
  </w:style>
  <w:style w:type="character" w:styleId="FootnoteReference">
    <w:name w:val="footnote reference"/>
    <w:basedOn w:val="DefaultParagraphFont"/>
    <w:uiPriority w:val="99"/>
    <w:semiHidden/>
    <w:unhideWhenUsed/>
    <w:rsid w:val="000752F7"/>
    <w:rPr>
      <w:vertAlign w:val="superscript"/>
    </w:rPr>
  </w:style>
  <w:style w:type="paragraph" w:styleId="Subtitle">
    <w:name w:val="Subtitle"/>
    <w:basedOn w:val="Normal"/>
    <w:next w:val="Normal"/>
    <w:link w:val="SubtitleChar"/>
    <w:uiPriority w:val="11"/>
    <w:qFormat/>
    <w:rsid w:val="000752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52F7"/>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8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B370CCC81FE418643B8896648CDE4" ma:contentTypeVersion="5" ma:contentTypeDescription="Create a new document." ma:contentTypeScope="" ma:versionID="048a522403f3b30793510f9c766881c2">
  <xsd:schema xmlns:xsd="http://www.w3.org/2001/XMLSchema" xmlns:xs="http://www.w3.org/2001/XMLSchema" xmlns:p="http://schemas.microsoft.com/office/2006/metadata/properties" xmlns:ns2="e4fbdee3-8934-4af9-8f43-5518a243d84d" targetNamespace="http://schemas.microsoft.com/office/2006/metadata/properties" ma:root="true" ma:fieldsID="e0b84141ccc850e9cdd6ed8d53087832" ns2:_="">
    <xsd:import namespace="e4fbdee3-8934-4af9-8f43-5518a243d84d"/>
    <xsd:element name="properties">
      <xsd:complexType>
        <xsd:sequence>
          <xsd:element name="documentManagement">
            <xsd:complexType>
              <xsd:all>
                <xsd:element ref="ns2:DHS_x0020_Status" minOccurs="0"/>
                <xsd:element ref="ns2:Proposal_x0020_Type" minOccurs="0"/>
                <xsd:element ref="ns2:Administ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dee3-8934-4af9-8f43-5518a243d84d" elementFormDefault="qualified">
    <xsd:import namespace="http://schemas.microsoft.com/office/2006/documentManagement/types"/>
    <xsd:import namespace="http://schemas.microsoft.com/office/infopath/2007/PartnerControls"/>
    <xsd:element name="DHS_x0020_Status" ma:index="8" nillable="true" ma:displayName="DHS Status" ma:internalName="DHS_x0020_Status" ma:requiredMultiChoice="true">
      <xsd:complexType>
        <xsd:complexContent>
          <xsd:extension base="dms:MultiChoice">
            <xsd:sequence>
              <xsd:element name="Value" maxOccurs="unbounded" minOccurs="0" nillable="true">
                <xsd:simpleType>
                  <xsd:restriction base="dms:Choice">
                    <xsd:enumeration value="Not Applicable"/>
                    <xsd:enumeration value="Not Reviewed"/>
                    <xsd:enumeration value="BAD Approved"/>
                    <xsd:enumeration value="Policy Approved"/>
                    <xsd:enumeration value="Approved to release Gov/MMB"/>
                    <xsd:enumeration value="Pulled"/>
                  </xsd:restriction>
                </xsd:simpleType>
              </xsd:element>
            </xsd:sequence>
          </xsd:extension>
        </xsd:complexContent>
      </xsd:complexType>
    </xsd:element>
    <xsd:element name="Proposal_x0020_Type" ma:index="9" nillable="true" ma:displayName="Proposal Type" ma:description="Select proposal type here" ma:internalName="Proposal_x0020_Type" ma:requiredMultiChoice="true">
      <xsd:complexType>
        <xsd:complexContent>
          <xsd:extension base="dms:MultiChoice">
            <xsd:sequence>
              <xsd:element name="Value" maxOccurs="unbounded" minOccurs="0" nillable="true">
                <xsd:simpleType>
                  <xsd:restriction base="dms:Choice">
                    <xsd:enumeration value="Budget"/>
                    <xsd:enumeration value="Policy"/>
                    <xsd:enumeration value="Technical"/>
                    <xsd:enumeration value="Other"/>
                  </xsd:restriction>
                </xsd:simpleType>
              </xsd:element>
            </xsd:sequence>
          </xsd:extension>
        </xsd:complexContent>
      </xsd:complexType>
    </xsd:element>
    <xsd:element name="Administration" ma:index="10" nillable="true" ma:displayName="Administration" ma:description="Select appropriate administration here" ma:internalName="Administration" ma:requiredMultiChoice="true">
      <xsd:complexType>
        <xsd:complexContent>
          <xsd:extension base="dms:MultiChoice">
            <xsd:sequence>
              <xsd:element name="Value" maxOccurs="unbounded" minOccurs="0" nillable="true">
                <xsd:simpleType>
                  <xsd:restriction base="dms:Choice">
                    <xsd:enumeration value="CC"/>
                    <xsd:enumeration value="CFS"/>
                    <xsd:enumeration value="CMHS"/>
                    <xsd:enumeration value="DCT"/>
                    <xsd:enumeration value="HC"/>
                    <xsd:enumeration value="Oper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ministration xmlns="e4fbdee3-8934-4af9-8f43-5518a243d84d">
      <Value>CMHS</Value>
    </Administration>
    <Proposal_x0020_Type xmlns="e4fbdee3-8934-4af9-8f43-5518a243d84d">
      <Value>Other</Value>
      <ns2:Value xmlns:ns2="e4fbdee3-8934-4af9-8f43-5518a243d84d">Budget</ns2:Value>
      <ns2:Value xmlns:ns2="e4fbdee3-8934-4af9-8f43-5518a243d84d">Policy</ns2:Value>
      <ns2:Value xmlns:ns2="e4fbdee3-8934-4af9-8f43-5518a243d84d">Technical</ns2:Value>
    </Proposal_x0020_Type>
    <DHS_x0020_Status xmlns="e4fbdee3-8934-4af9-8f43-5518a243d84d">
      <Value>Not Applicable</Value>
    </DHS_x0020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4D48-55ED-46CB-A92A-1996EEC4FB1E}">
  <ds:schemaRefs>
    <ds:schemaRef ds:uri="http://schemas.microsoft.com/sharepoint/v3/contenttype/forms"/>
  </ds:schemaRefs>
</ds:datastoreItem>
</file>

<file path=customXml/itemProps2.xml><?xml version="1.0" encoding="utf-8"?>
<ds:datastoreItem xmlns:ds="http://schemas.openxmlformats.org/officeDocument/2006/customXml" ds:itemID="{ACA2C4BA-53A7-4E09-A8A5-968407D5F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dee3-8934-4af9-8f43-5518a243d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CBA04-B529-4105-92A1-216B9F2A7C5C}">
  <ds:schemaRefs>
    <ds:schemaRef ds:uri="http://purl.org/dc/elements/1.1/"/>
    <ds:schemaRef ds:uri="http://schemas.microsoft.com/office/2006/documentManagement/types"/>
    <ds:schemaRef ds:uri="e4fbdee3-8934-4af9-8f43-5518a243d84d"/>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725BFA4-C837-4371-8113-46D43D32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Kate</dc:creator>
  <cp:lastModifiedBy>Ruter, Thomas</cp:lastModifiedBy>
  <cp:revision>2</cp:revision>
  <dcterms:created xsi:type="dcterms:W3CDTF">2014-08-20T17:50:00Z</dcterms:created>
  <dcterms:modified xsi:type="dcterms:W3CDTF">2014-08-20T17:50:00Z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0x010100734B370CCC81FE418643B8896648CDE4</vt:lpwstr>
  </property>
</Properties>
</file>