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476D" w:rsidRPr="00BA3B47" w:rsidRDefault="00AD476D" w:rsidP="00AD476D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BA3B47">
        <w:rPr>
          <w:rFonts w:ascii="Baskerville Old Face" w:hAnsi="Baskerville Old Face"/>
          <w:b/>
          <w:sz w:val="36"/>
          <w:szCs w:val="36"/>
          <w:u w:val="single"/>
        </w:rPr>
        <w:t>Mental Health Reform 2015 to 2018</w:t>
      </w:r>
    </w:p>
    <w:p w:rsidR="00BA3B47" w:rsidRDefault="00BA3B47">
      <w:pPr>
        <w:rPr>
          <w:rFonts w:ascii="Baskerville Old Face" w:hAnsi="Baskerville Old Face"/>
          <w:noProof/>
          <w:sz w:val="28"/>
          <w:szCs w:val="28"/>
        </w:rPr>
      </w:pPr>
    </w:p>
    <w:p w:rsidR="00BA3B47" w:rsidRDefault="00BA3B47">
      <w:pPr>
        <w:rPr>
          <w:rFonts w:ascii="Baskerville Old Face" w:hAnsi="Baskerville Old Face"/>
          <w:noProof/>
          <w:sz w:val="28"/>
          <w:szCs w:val="28"/>
        </w:rPr>
      </w:pPr>
    </w:p>
    <w:p w:rsidR="00BA3B47" w:rsidRDefault="006F539E" w:rsidP="006F539E">
      <w:pPr>
        <w:jc w:val="center"/>
        <w:rPr>
          <w:rFonts w:ascii="Baskerville Old Face" w:hAnsi="Baskerville Old Face"/>
          <w:noProof/>
          <w:sz w:val="28"/>
          <w:szCs w:val="28"/>
        </w:rPr>
      </w:pPr>
      <w:r w:rsidRPr="006F539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FCF58C3" wp14:editId="508D207B">
            <wp:extent cx="2857500" cy="1905000"/>
            <wp:effectExtent l="0" t="0" r="0" b="0"/>
            <wp:docPr id="5" name="Picture 5" descr="http://ts1.mm.bing.net/th?&amp;id=HN.607988359426082135&amp;w=300&amp;h=300&amp;c=0&amp;pid=1.9&amp;rs=0&amp;p=0&amp;url=http%3A%2F%2Fwww.moniquehowat.com%2Fprof-development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&amp;id=HN.607988359426082135&amp;w=300&amp;h=300&amp;c=0&amp;pid=1.9&amp;rs=0&amp;p=0&amp;url=http%3A%2F%2Fwww.moniquehowat.com%2Fprof-development%2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47" w:rsidRDefault="00BA3B47">
      <w:pPr>
        <w:rPr>
          <w:rFonts w:ascii="Baskerville Old Face" w:hAnsi="Baskerville Old Face"/>
          <w:noProof/>
          <w:sz w:val="28"/>
          <w:szCs w:val="28"/>
        </w:rPr>
      </w:pPr>
    </w:p>
    <w:p w:rsidR="00AD476D" w:rsidRPr="00BA3B47" w:rsidRDefault="00BA3B47">
      <w:pPr>
        <w:rPr>
          <w:rFonts w:ascii="Baskerville Old Face" w:hAnsi="Baskerville Old Face"/>
          <w:sz w:val="28"/>
          <w:szCs w:val="28"/>
        </w:rPr>
      </w:pPr>
      <w:r w:rsidRPr="00BA3B47">
        <w:rPr>
          <w:rFonts w:ascii="Baskerville Old Face" w:hAnsi="Baskerville Old Face"/>
          <w:noProof/>
          <w:sz w:val="28"/>
          <w:szCs w:val="28"/>
        </w:rPr>
        <w:t xml:space="preserve">Goal :  Improved Access , Quality , Deliverly  and Coordination of Mental Health Services </w:t>
      </w:r>
    </w:p>
    <w:p w:rsidR="00AD476D" w:rsidRDefault="00AD476D"/>
    <w:p w:rsidR="00AD476D" w:rsidRDefault="00AD476D"/>
    <w:tbl>
      <w:tblPr>
        <w:tblStyle w:val="TableGrid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  <w:gridCol w:w="5858"/>
      </w:tblGrid>
      <w:tr w:rsidR="00AD476D" w:rsidRPr="00AD476D" w:rsidTr="006823CF">
        <w:tc>
          <w:tcPr>
            <w:tcW w:w="361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76D" w:rsidRPr="00AD476D" w:rsidRDefault="00AD476D" w:rsidP="00AD476D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External Stakeholders </w:t>
            </w:r>
          </w:p>
        </w:tc>
        <w:tc>
          <w:tcPr>
            <w:tcW w:w="5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D476D" w:rsidRPr="00AD476D" w:rsidRDefault="00AD476D" w:rsidP="00AD47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 xml:space="preserve">Internal Stakeholders </w:t>
            </w:r>
          </w:p>
        </w:tc>
      </w:tr>
      <w:tr w:rsidR="00AD476D" w:rsidRPr="00AD476D" w:rsidTr="006823CF">
        <w:tc>
          <w:tcPr>
            <w:tcW w:w="361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0760" w:rsidRPr="00AD476D" w:rsidRDefault="008F0760" w:rsidP="008F0760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Consumers </w:t>
            </w:r>
          </w:p>
          <w:p w:rsidR="008F0760" w:rsidRPr="00AD476D" w:rsidRDefault="008F0760" w:rsidP="008F0760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Families </w:t>
            </w:r>
          </w:p>
          <w:p w:rsidR="008F0760" w:rsidRPr="00AD476D" w:rsidRDefault="008F0760" w:rsidP="008F0760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Advocates </w:t>
            </w:r>
          </w:p>
          <w:p w:rsidR="008F0760" w:rsidRDefault="008F0760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>Provider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s</w:t>
            </w:r>
          </w:p>
          <w:p w:rsidR="00AD476D" w:rsidRP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Hospitals </w:t>
            </w:r>
          </w:p>
          <w:p w:rsidR="00AD476D" w:rsidRP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>Health Plans</w:t>
            </w:r>
          </w:p>
          <w:p w:rsidR="00AD476D" w:rsidRP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Professionals </w:t>
            </w:r>
          </w:p>
          <w:p w:rsidR="00AD476D" w:rsidRDefault="008F0760" w:rsidP="008F0760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Counties</w:t>
            </w:r>
          </w:p>
          <w:p w:rsidR="00D466BC" w:rsidRPr="00AD476D" w:rsidRDefault="00D466BC" w:rsidP="008F0760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Mental Health Legislative Network</w:t>
            </w:r>
          </w:p>
        </w:tc>
        <w:tc>
          <w:tcPr>
            <w:tcW w:w="5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D476D" w:rsidRPr="00AD476D" w:rsidRDefault="008F0760" w:rsidP="00AD476D">
            <w:pPr>
              <w:numPr>
                <w:ilvl w:val="0"/>
                <w:numId w:val="3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MN Department of Health</w:t>
            </w:r>
            <w:r w:rsidR="00AD476D" w:rsidRPr="00AD476D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  <w:p w:rsidR="00AD476D" w:rsidRP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8F0760">
              <w:rPr>
                <w:rFonts w:ascii="Garamond" w:hAnsi="Garamond"/>
                <w:b/>
                <w:sz w:val="24"/>
                <w:szCs w:val="24"/>
              </w:rPr>
              <w:t>ept. of Employment &amp; Economic Development</w:t>
            </w:r>
            <w:r w:rsidRPr="00AD476D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</w:p>
          <w:p w:rsidR="00AD476D" w:rsidRP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8F0760">
              <w:rPr>
                <w:rFonts w:ascii="Garamond" w:hAnsi="Garamond"/>
                <w:b/>
                <w:sz w:val="24"/>
                <w:szCs w:val="24"/>
              </w:rPr>
              <w:t>ept. of Corrections</w:t>
            </w:r>
          </w:p>
          <w:p w:rsidR="00AD476D" w:rsidRP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8F0760">
              <w:rPr>
                <w:rFonts w:ascii="Garamond" w:hAnsi="Garamond"/>
                <w:b/>
                <w:sz w:val="24"/>
                <w:szCs w:val="24"/>
              </w:rPr>
              <w:t>ept. of Human Services Administrations</w:t>
            </w:r>
          </w:p>
          <w:p w:rsidR="00AD476D" w:rsidRPr="00AD476D" w:rsidRDefault="008F0760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MN </w:t>
            </w:r>
            <w:r w:rsidR="00AD476D" w:rsidRPr="00AD476D">
              <w:rPr>
                <w:rFonts w:ascii="Garamond" w:hAnsi="Garamond"/>
                <w:b/>
                <w:sz w:val="24"/>
                <w:szCs w:val="24"/>
              </w:rPr>
              <w:t xml:space="preserve">Housing Finance </w:t>
            </w:r>
          </w:p>
          <w:p w:rsidR="00AD476D" w:rsidRPr="00AD476D" w:rsidRDefault="008F0760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MN Dept. of </w:t>
            </w:r>
            <w:r w:rsidR="00AD476D" w:rsidRPr="00AD476D">
              <w:rPr>
                <w:rFonts w:ascii="Garamond" w:hAnsi="Garamond"/>
                <w:b/>
                <w:sz w:val="24"/>
                <w:szCs w:val="24"/>
              </w:rPr>
              <w:t xml:space="preserve">Commerce </w:t>
            </w:r>
          </w:p>
          <w:p w:rsidR="00AD476D" w:rsidRPr="00AD476D" w:rsidRDefault="008F0760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MN Dept. of Transportation</w:t>
            </w:r>
          </w:p>
          <w:p w:rsidR="00AD476D" w:rsidRDefault="00AD476D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>Higher Ed</w:t>
            </w:r>
            <w:r w:rsidR="008F0760">
              <w:rPr>
                <w:rFonts w:ascii="Garamond" w:hAnsi="Garamond"/>
                <w:b/>
                <w:sz w:val="24"/>
                <w:szCs w:val="24"/>
              </w:rPr>
              <w:t>ucation</w:t>
            </w:r>
          </w:p>
          <w:p w:rsidR="00D466BC" w:rsidRPr="00AD476D" w:rsidRDefault="00D466BC" w:rsidP="00AD476D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State Advisory Council on Mental Health</w:t>
            </w:r>
          </w:p>
          <w:p w:rsidR="00AD476D" w:rsidRPr="00AD476D" w:rsidRDefault="00AD476D" w:rsidP="008F0760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8F0760">
              <w:rPr>
                <w:rFonts w:ascii="Garamond" w:hAnsi="Garamond"/>
                <w:b/>
                <w:sz w:val="24"/>
                <w:szCs w:val="24"/>
              </w:rPr>
              <w:t xml:space="preserve">hemical and Mental Health Services </w:t>
            </w:r>
            <w:r w:rsidRPr="00AD476D">
              <w:rPr>
                <w:rFonts w:ascii="Garamond" w:hAnsi="Garamond"/>
                <w:b/>
                <w:sz w:val="24"/>
                <w:szCs w:val="24"/>
              </w:rPr>
              <w:t xml:space="preserve">Staff </w:t>
            </w:r>
          </w:p>
        </w:tc>
      </w:tr>
      <w:tr w:rsidR="00AD476D" w:rsidRPr="00AD476D" w:rsidTr="006823CF">
        <w:tc>
          <w:tcPr>
            <w:tcW w:w="361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76D" w:rsidRPr="00AD476D" w:rsidRDefault="00AD476D" w:rsidP="008F076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Legislator </w:t>
            </w:r>
            <w:r w:rsidR="008F0760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1 on 1’s </w:t>
            </w: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85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D476D" w:rsidRPr="00AD476D" w:rsidRDefault="008F0760" w:rsidP="00AD476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Other </w:t>
            </w:r>
            <w:r w:rsidR="00AD476D" w:rsidRPr="00AD476D">
              <w:rPr>
                <w:rFonts w:ascii="Garamond" w:hAnsi="Garamond"/>
                <w:b/>
                <w:color w:val="0070C0"/>
                <w:sz w:val="24"/>
                <w:szCs w:val="24"/>
              </w:rPr>
              <w:t>State Agencies</w:t>
            </w:r>
          </w:p>
        </w:tc>
      </w:tr>
      <w:tr w:rsidR="00AD476D" w:rsidRPr="00AD476D" w:rsidTr="006823CF">
        <w:tc>
          <w:tcPr>
            <w:tcW w:w="361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76D" w:rsidRPr="00AD476D" w:rsidRDefault="00AD476D" w:rsidP="00AD476D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Regional Round Tables </w:t>
            </w:r>
          </w:p>
        </w:tc>
        <w:tc>
          <w:tcPr>
            <w:tcW w:w="585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D476D" w:rsidRPr="00AD476D" w:rsidRDefault="00AD476D" w:rsidP="00AD476D">
            <w:pPr>
              <w:ind w:left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D476D" w:rsidRPr="00AD476D" w:rsidTr="006823CF"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76D" w:rsidRPr="00AD476D" w:rsidRDefault="00AD476D" w:rsidP="008F076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>Offenders w</w:t>
            </w:r>
            <w:r w:rsidR="008F0760">
              <w:rPr>
                <w:rFonts w:ascii="Garamond" w:hAnsi="Garamond"/>
                <w:b/>
                <w:color w:val="FF0000"/>
                <w:sz w:val="24"/>
                <w:szCs w:val="24"/>
              </w:rPr>
              <w:t>/</w:t>
            </w: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>MI</w:t>
            </w:r>
          </w:p>
        </w:tc>
        <w:tc>
          <w:tcPr>
            <w:tcW w:w="1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76D" w:rsidRPr="00AD476D" w:rsidRDefault="00AD476D" w:rsidP="008F076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Rate </w:t>
            </w:r>
            <w:r w:rsidR="008F0760">
              <w:rPr>
                <w:rFonts w:ascii="Garamond" w:hAnsi="Garamond"/>
                <w:b/>
                <w:color w:val="FF0000"/>
                <w:sz w:val="24"/>
                <w:szCs w:val="24"/>
              </w:rPr>
              <w:t>Reform</w:t>
            </w:r>
          </w:p>
        </w:tc>
        <w:tc>
          <w:tcPr>
            <w:tcW w:w="5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D476D" w:rsidRPr="00AD476D" w:rsidRDefault="00AD476D" w:rsidP="008F07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8F0760">
              <w:rPr>
                <w:rFonts w:ascii="Garamond" w:hAnsi="Garamond"/>
                <w:b/>
                <w:sz w:val="24"/>
                <w:szCs w:val="24"/>
              </w:rPr>
              <w:t>ental Health P</w:t>
            </w:r>
            <w:r w:rsidRPr="00AD476D">
              <w:rPr>
                <w:rFonts w:ascii="Garamond" w:hAnsi="Garamond"/>
                <w:b/>
                <w:sz w:val="24"/>
                <w:szCs w:val="24"/>
              </w:rPr>
              <w:t xml:space="preserve">roposal Drafting Team </w:t>
            </w:r>
          </w:p>
        </w:tc>
      </w:tr>
      <w:tr w:rsidR="00AD476D" w:rsidRPr="00AD476D" w:rsidTr="006823CF">
        <w:tc>
          <w:tcPr>
            <w:tcW w:w="3610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476D" w:rsidRPr="00AD476D" w:rsidRDefault="00AD476D" w:rsidP="008F076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>M</w:t>
            </w:r>
            <w:r w:rsidR="008F0760">
              <w:rPr>
                <w:rFonts w:ascii="Garamond" w:hAnsi="Garamond"/>
                <w:b/>
                <w:color w:val="FF0000"/>
                <w:sz w:val="24"/>
                <w:szCs w:val="24"/>
              </w:rPr>
              <w:t>ental Health Services</w:t>
            </w:r>
            <w:r w:rsidRPr="00AD476D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Improvement Workgroup </w:t>
            </w:r>
          </w:p>
        </w:tc>
        <w:tc>
          <w:tcPr>
            <w:tcW w:w="585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AD476D" w:rsidRPr="00AD476D" w:rsidRDefault="00AD476D" w:rsidP="00AD47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476D">
              <w:rPr>
                <w:rFonts w:ascii="Garamond" w:hAnsi="Garamond"/>
                <w:b/>
                <w:sz w:val="24"/>
                <w:szCs w:val="24"/>
              </w:rPr>
              <w:t xml:space="preserve">DHS Core Mental Health Reform Team </w:t>
            </w:r>
          </w:p>
        </w:tc>
      </w:tr>
    </w:tbl>
    <w:p w:rsidR="00AD476D" w:rsidRPr="00AD476D" w:rsidRDefault="00AD476D" w:rsidP="00AD476D"/>
    <w:p w:rsidR="00AD476D" w:rsidRPr="00AD476D" w:rsidRDefault="00AD476D" w:rsidP="00AD476D"/>
    <w:p w:rsidR="00AD476D" w:rsidRDefault="00AD476D"/>
    <w:p w:rsidR="00AD476D" w:rsidRDefault="00AD476D">
      <w:bookmarkStart w:id="0" w:name="_GoBack"/>
      <w:bookmarkEnd w:id="0"/>
    </w:p>
    <w:p w:rsidR="00BA3B47" w:rsidRDefault="00BA3B47"/>
    <w:sectPr w:rsidR="00BA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A6" w:rsidRDefault="003B6DA6" w:rsidP="003B6DA6">
      <w:r>
        <w:separator/>
      </w:r>
    </w:p>
  </w:endnote>
  <w:endnote w:type="continuationSeparator" w:id="0">
    <w:p w:rsidR="003B6DA6" w:rsidRDefault="003B6DA6" w:rsidP="003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A6" w:rsidRDefault="003B6DA6" w:rsidP="003B6DA6">
      <w:r>
        <w:separator/>
      </w:r>
    </w:p>
  </w:footnote>
  <w:footnote w:type="continuationSeparator" w:id="0">
    <w:p w:rsidR="003B6DA6" w:rsidRDefault="003B6DA6" w:rsidP="003B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A5F"/>
    <w:multiLevelType w:val="hybridMultilevel"/>
    <w:tmpl w:val="B3D6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5EF4"/>
    <w:multiLevelType w:val="hybridMultilevel"/>
    <w:tmpl w:val="12D6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5735"/>
    <w:multiLevelType w:val="hybridMultilevel"/>
    <w:tmpl w:val="CB2E1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5"/>
    <w:rsid w:val="00146A7D"/>
    <w:rsid w:val="0022345D"/>
    <w:rsid w:val="003B6DA6"/>
    <w:rsid w:val="00401DBE"/>
    <w:rsid w:val="005E7CFF"/>
    <w:rsid w:val="006823CF"/>
    <w:rsid w:val="006F539E"/>
    <w:rsid w:val="00755F9A"/>
    <w:rsid w:val="008931B0"/>
    <w:rsid w:val="00894091"/>
    <w:rsid w:val="008F0760"/>
    <w:rsid w:val="00AD476D"/>
    <w:rsid w:val="00BA3B47"/>
    <w:rsid w:val="00C126A5"/>
    <w:rsid w:val="00C54BCD"/>
    <w:rsid w:val="00D466BC"/>
    <w:rsid w:val="00E00219"/>
    <w:rsid w:val="00E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9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755F9A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B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A6"/>
  </w:style>
  <w:style w:type="paragraph" w:styleId="Footer">
    <w:name w:val="footer"/>
    <w:basedOn w:val="Normal"/>
    <w:link w:val="FooterChar"/>
    <w:uiPriority w:val="99"/>
    <w:unhideWhenUsed/>
    <w:rsid w:val="003B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A6"/>
  </w:style>
  <w:style w:type="table" w:customStyle="1" w:styleId="TableGrid1">
    <w:name w:val="Table Grid1"/>
    <w:basedOn w:val="TableNormal"/>
    <w:next w:val="TableGrid"/>
    <w:uiPriority w:val="59"/>
    <w:rsid w:val="00AD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9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755F9A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B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A6"/>
  </w:style>
  <w:style w:type="paragraph" w:styleId="Footer">
    <w:name w:val="footer"/>
    <w:basedOn w:val="Normal"/>
    <w:link w:val="FooterChar"/>
    <w:uiPriority w:val="99"/>
    <w:unhideWhenUsed/>
    <w:rsid w:val="003B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A6"/>
  </w:style>
  <w:style w:type="table" w:customStyle="1" w:styleId="TableGrid1">
    <w:name w:val="Table Grid1"/>
    <w:basedOn w:val="TableNormal"/>
    <w:next w:val="TableGrid"/>
    <w:uiPriority w:val="59"/>
    <w:rsid w:val="00AD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4FFE-26E3-4E86-AA4A-0EE2ABDF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Dept of Human Services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Migambi, Alex</dc:creator>
  <cp:lastModifiedBy>Ruter, Thomas</cp:lastModifiedBy>
  <cp:revision>3</cp:revision>
  <cp:lastPrinted>2014-08-11T18:22:00Z</cp:lastPrinted>
  <dcterms:created xsi:type="dcterms:W3CDTF">2014-08-12T20:34:00Z</dcterms:created>
  <dcterms:modified xsi:type="dcterms:W3CDTF">2014-08-18T17:39:00Z</dcterms:modified>
</cp:coreProperties>
</file>